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9CE0B" w14:textId="7F9992CB" w:rsidR="00A763EF" w:rsidRDefault="00A763EF" w:rsidP="00A763EF">
      <w:pPr>
        <w:pStyle w:val="Title"/>
      </w:pPr>
      <w:r>
        <w:t>Preliminary Sector Prioritization:  Spreadsheet Screening Exercise</w:t>
      </w:r>
    </w:p>
    <w:p w14:paraId="41A17C05" w14:textId="6CB5317C" w:rsidR="00A763EF" w:rsidRPr="00A763EF" w:rsidRDefault="00A763EF" w:rsidP="00A763EF">
      <w:r>
        <w:t>2/22/2021</w:t>
      </w:r>
    </w:p>
    <w:p w14:paraId="5E44709C" w14:textId="526EA17C" w:rsidR="0007269A" w:rsidRDefault="0007269A" w:rsidP="0007269A">
      <w:pPr>
        <w:pStyle w:val="Heading1"/>
      </w:pPr>
      <w:r>
        <w:t>Overview</w:t>
      </w:r>
    </w:p>
    <w:p w14:paraId="6A32356D" w14:textId="410630FA" w:rsidR="0007269A" w:rsidRPr="006B5100" w:rsidRDefault="0007269A" w:rsidP="0007269A">
      <w:r w:rsidRPr="006B5100">
        <w:rPr>
          <w:b/>
          <w:bCs/>
        </w:rPr>
        <w:t xml:space="preserve">Purpose: </w:t>
      </w:r>
      <w:r>
        <w:t>Develop an approach to rank inventory sectors across multiple user-selected indicators for their importance across criteria pollutants/precursors (CAPs), hazardous air pollutants (HAPs), and greenhouse gases (GHGs).</w:t>
      </w:r>
    </w:p>
    <w:p w14:paraId="5E15E10C" w14:textId="0C97349C" w:rsidR="0007269A" w:rsidRDefault="0007269A" w:rsidP="0007269A">
      <w:r>
        <w:rPr>
          <w:b/>
          <w:bCs/>
        </w:rPr>
        <w:t xml:space="preserve">Summary result: </w:t>
      </w:r>
      <w:r>
        <w:t xml:space="preserve">To illustrate an approach, we have modified an initial emissions-only approach to include not only the 2017 &amp; 2018 NEI data, but also mortality and HAP risk data </w:t>
      </w:r>
      <w:r w:rsidR="004B11BC">
        <w:t xml:space="preserve">(county-level for now) </w:t>
      </w:r>
      <w:r>
        <w:t xml:space="preserve">and </w:t>
      </w:r>
      <w:r w:rsidR="00B0006C">
        <w:t>benefit</w:t>
      </w:r>
      <w:r>
        <w:t xml:space="preserve">-per-ton estimates </w:t>
      </w:r>
      <w:r w:rsidR="004B11BC">
        <w:t xml:space="preserve">(nationwide) </w:t>
      </w:r>
      <w:r>
        <w:t xml:space="preserve">for sectors.  Other modifications to the original approach are provided </w:t>
      </w:r>
      <w:r w:rsidR="000B43A8">
        <w:t xml:space="preserve">in Section </w:t>
      </w:r>
      <w:r w:rsidR="000B43A8">
        <w:fldChar w:fldCharType="begin"/>
      </w:r>
      <w:r w:rsidR="000B43A8">
        <w:instrText xml:space="preserve"> REF _Ref64901229 \r \h </w:instrText>
      </w:r>
      <w:r w:rsidR="000B43A8">
        <w:fldChar w:fldCharType="separate"/>
      </w:r>
      <w:r w:rsidR="000B43A8">
        <w:t>5</w:t>
      </w:r>
      <w:r w:rsidR="000B43A8">
        <w:fldChar w:fldCharType="end"/>
      </w:r>
      <w:r w:rsidR="000B43A8">
        <w:t xml:space="preserve"> </w:t>
      </w:r>
      <w:r>
        <w:t>below.</w:t>
      </w:r>
    </w:p>
    <w:p w14:paraId="5DD3D2F8" w14:textId="77777777" w:rsidR="0007269A" w:rsidRDefault="0007269A" w:rsidP="0007269A">
      <w:pPr>
        <w:rPr>
          <w:b/>
          <w:bCs/>
        </w:rPr>
      </w:pPr>
      <w:r w:rsidRPr="00DD3506">
        <w:rPr>
          <w:b/>
          <w:bCs/>
        </w:rPr>
        <w:t xml:space="preserve">Data included: </w:t>
      </w:r>
    </w:p>
    <w:p w14:paraId="59BD106B" w14:textId="201EEC02" w:rsidR="0007269A" w:rsidRDefault="0007269A" w:rsidP="0007269A">
      <w:pPr>
        <w:pStyle w:val="ListParagraph"/>
        <w:numPr>
          <w:ilvl w:val="0"/>
          <w:numId w:val="2"/>
        </w:numPr>
      </w:pPr>
      <w:r w:rsidRPr="0007269A">
        <w:rPr>
          <w:b/>
          <w:bCs/>
        </w:rPr>
        <w:t xml:space="preserve">Emissions: </w:t>
      </w:r>
      <w:r w:rsidRPr="004F7723">
        <w:t xml:space="preserve">The </w:t>
      </w:r>
      <w:r>
        <w:t xml:space="preserve">2017 NEI, with point data replaced with 2018 data (including GHG Reporting Program data).  Nonpoint data do not include GHGs </w:t>
      </w:r>
      <w:r w:rsidR="00512920">
        <w:t xml:space="preserve">except for elemental carbon (EC) </w:t>
      </w:r>
      <w:r>
        <w:t>in this analysis.  Mobile and Fires are excluded from this analysis.</w:t>
      </w:r>
    </w:p>
    <w:p w14:paraId="3B7D4DFD" w14:textId="42D49550" w:rsidR="00DC5D48" w:rsidRDefault="00DC5D48" w:rsidP="0007269A">
      <w:pPr>
        <w:pStyle w:val="ListParagraph"/>
        <w:numPr>
          <w:ilvl w:val="0"/>
          <w:numId w:val="2"/>
        </w:numPr>
      </w:pPr>
      <w:r>
        <w:rPr>
          <w:b/>
          <w:bCs/>
        </w:rPr>
        <w:t>Sectors:</w:t>
      </w:r>
      <w:r>
        <w:t xml:space="preserve"> Point source sectors were assigned based on pollutant (for Coke Ovens), NAICS or SCC codes for same sectors being used for ongoing source apportionment work.  In addition, additional sectors were added by NAICS code to reduce the amount of “Other Point” and break it out into individual sectors.  The full list of sectors is available in the Appendix.  Nonpoint sectors are assigned using EIS/NEI sectors.</w:t>
      </w:r>
    </w:p>
    <w:p w14:paraId="236777FE" w14:textId="7BE9BBF4" w:rsidR="0007269A" w:rsidRPr="0007269A" w:rsidRDefault="004B11BC" w:rsidP="0007269A">
      <w:pPr>
        <w:pStyle w:val="ListParagraph"/>
        <w:numPr>
          <w:ilvl w:val="0"/>
          <w:numId w:val="2"/>
        </w:numPr>
      </w:pPr>
      <w:r>
        <w:rPr>
          <w:b/>
          <w:bCs/>
        </w:rPr>
        <w:t>Exposure</w:t>
      </w:r>
      <w:r w:rsidR="0007269A">
        <w:rPr>
          <w:b/>
          <w:bCs/>
        </w:rPr>
        <w:t xml:space="preserve"> risk: </w:t>
      </w:r>
      <w:r w:rsidR="0007269A">
        <w:t xml:space="preserve">From NEXUS, the ozone </w:t>
      </w:r>
      <w:r>
        <w:t xml:space="preserve">and PM2.5 </w:t>
      </w:r>
      <w:r w:rsidR="0007269A">
        <w:t>mortality</w:t>
      </w:r>
      <w:r>
        <w:t xml:space="preserve"> risk</w:t>
      </w:r>
      <w:r w:rsidR="0007269A">
        <w:t xml:space="preserve"> and </w:t>
      </w:r>
      <w:r w:rsidR="002B685F">
        <w:t xml:space="preserve">2014 NATA </w:t>
      </w:r>
      <w:r w:rsidR="0007269A">
        <w:t xml:space="preserve">HAP risk aggregated to a county level </w:t>
      </w:r>
      <w:r w:rsidR="00B0006C">
        <w:t xml:space="preserve">for continental U.S., (CONUS).  Aggregation to county total is for simplicity of </w:t>
      </w:r>
      <w:r>
        <w:t xml:space="preserve">a screening </w:t>
      </w:r>
      <w:r w:rsidR="00B0006C">
        <w:t xml:space="preserve">approach rather than precise definition of at-risk communities, which would need to be done at a finer </w:t>
      </w:r>
      <w:r>
        <w:t xml:space="preserve">spatial </w:t>
      </w:r>
      <w:r w:rsidR="00B0006C">
        <w:t>scale.</w:t>
      </w:r>
    </w:p>
    <w:p w14:paraId="017E8D30" w14:textId="50DC6BB0" w:rsidR="0007269A" w:rsidRDefault="0007269A" w:rsidP="0007269A">
      <w:pPr>
        <w:pStyle w:val="ListParagraph"/>
        <w:numPr>
          <w:ilvl w:val="0"/>
          <w:numId w:val="2"/>
        </w:numPr>
      </w:pPr>
      <w:r>
        <w:rPr>
          <w:b/>
          <w:bCs/>
        </w:rPr>
        <w:t xml:space="preserve">Benefit per ton: </w:t>
      </w:r>
      <w:r w:rsidR="004B11BC">
        <w:t>Nationwide estimates of $ per pollutant ton</w:t>
      </w:r>
      <w:r>
        <w:t xml:space="preserve"> for NOx, PM2.5, and SO2 from the</w:t>
      </w:r>
      <w:r w:rsidRPr="0007269A">
        <w:t xml:space="preserve"> Technical Support Document "Estimating the Benefit per Ton of Reducing PM2.5 Precursors from 17 Sectors, US EPA, February 2018</w:t>
      </w:r>
      <w:r>
        <w:t>”</w:t>
      </w:r>
    </w:p>
    <w:p w14:paraId="4B6816E8" w14:textId="2DB3E4F1" w:rsidR="0007269A" w:rsidRDefault="00DC5D48" w:rsidP="0007269A">
      <w:pPr>
        <w:rPr>
          <w:b/>
          <w:bCs/>
        </w:rPr>
      </w:pPr>
      <w:r>
        <w:rPr>
          <w:b/>
          <w:bCs/>
        </w:rPr>
        <w:t>I</w:t>
      </w:r>
      <w:r w:rsidR="0007269A">
        <w:rPr>
          <w:b/>
          <w:bCs/>
        </w:rPr>
        <w:t>ndicators available</w:t>
      </w:r>
      <w:r>
        <w:rPr>
          <w:b/>
          <w:bCs/>
        </w:rPr>
        <w:t xml:space="preserve"> in current spreadsheet</w:t>
      </w:r>
      <w:r w:rsidR="0007269A">
        <w:rPr>
          <w:b/>
          <w:bCs/>
        </w:rPr>
        <w:t>:</w:t>
      </w:r>
    </w:p>
    <w:p w14:paraId="4B314EAF" w14:textId="6FB4637C" w:rsidR="00DC5D48" w:rsidRDefault="00DC5D48" w:rsidP="00DC5D48">
      <w:pPr>
        <w:pStyle w:val="ListParagraph"/>
        <w:numPr>
          <w:ilvl w:val="0"/>
          <w:numId w:val="4"/>
        </w:numPr>
      </w:pPr>
      <w:r>
        <w:t xml:space="preserve">Emissions mass: NOx, PM2.5, SO2, </w:t>
      </w:r>
      <w:bookmarkStart w:id="0" w:name="_Hlk64546014"/>
      <w:r>
        <w:t>20 Worst HAPs, Hg &amp; Worse</w:t>
      </w:r>
      <w:bookmarkEnd w:id="0"/>
      <w:r>
        <w:t>, EC, CO2, CH4</w:t>
      </w:r>
    </w:p>
    <w:p w14:paraId="78D92A7E" w14:textId="707102C3" w:rsidR="00DC5D48" w:rsidRDefault="00DC5D48" w:rsidP="00DC5D48">
      <w:pPr>
        <w:pStyle w:val="ListParagraph"/>
        <w:numPr>
          <w:ilvl w:val="0"/>
          <w:numId w:val="4"/>
        </w:numPr>
      </w:pPr>
      <w:r>
        <w:t>Per-capita emissions mass: NOx, PM2.5, SO2, 20 Worst HAPs, Hg &amp; Worse</w:t>
      </w:r>
    </w:p>
    <w:p w14:paraId="6AB72E72" w14:textId="77777777" w:rsidR="00DC5D48" w:rsidRDefault="00DC5D48" w:rsidP="00DC5D48">
      <w:pPr>
        <w:pStyle w:val="ListParagraph"/>
        <w:numPr>
          <w:ilvl w:val="0"/>
          <w:numId w:val="4"/>
        </w:numPr>
      </w:pPr>
      <w:r>
        <w:t xml:space="preserve">Benefit ($) of emissions reductions: NOx, PM2.5, SO2 </w:t>
      </w:r>
    </w:p>
    <w:p w14:paraId="6C5A09A6" w14:textId="1D6FC555" w:rsidR="00B0006C" w:rsidRDefault="00B0006C" w:rsidP="00DC5D48">
      <w:pPr>
        <w:pStyle w:val="ListParagraph"/>
        <w:numPr>
          <w:ilvl w:val="1"/>
          <w:numId w:val="4"/>
        </w:numPr>
      </w:pPr>
      <w:r>
        <w:t xml:space="preserve">Currently uses the </w:t>
      </w:r>
      <w:r w:rsidRPr="00B0006C">
        <w:t xml:space="preserve">Krewski et al. (2009) </w:t>
      </w:r>
      <w:r>
        <w:t xml:space="preserve">values, but that could be changed easily to the </w:t>
      </w:r>
      <w:r w:rsidRPr="00B0006C">
        <w:t xml:space="preserve">Lepeule et al. (2012) </w:t>
      </w:r>
      <w:r>
        <w:t>values</w:t>
      </w:r>
    </w:p>
    <w:p w14:paraId="3A83F7D7" w14:textId="4698BB66" w:rsidR="00DC5D48" w:rsidRDefault="00DC5D48" w:rsidP="00DC5D48">
      <w:pPr>
        <w:pStyle w:val="ListParagraph"/>
        <w:numPr>
          <w:ilvl w:val="1"/>
          <w:numId w:val="4"/>
        </w:numPr>
      </w:pPr>
      <w:r>
        <w:t>Applies only if enter emissions reduction % for a sector/pollutant combination</w:t>
      </w:r>
    </w:p>
    <w:p w14:paraId="51A6613A" w14:textId="241FC2A3" w:rsidR="00DC5D48" w:rsidRPr="00DC5D48" w:rsidRDefault="00DC5D48" w:rsidP="00DC5D48">
      <w:pPr>
        <w:rPr>
          <w:b/>
          <w:bCs/>
        </w:rPr>
      </w:pPr>
      <w:r w:rsidRPr="00DC5D48">
        <w:rPr>
          <w:b/>
          <w:bCs/>
        </w:rPr>
        <w:t>Indicator adjustments available</w:t>
      </w:r>
      <w:r>
        <w:rPr>
          <w:b/>
          <w:bCs/>
        </w:rPr>
        <w:t xml:space="preserve"> in current spreadsheet</w:t>
      </w:r>
      <w:r w:rsidRPr="00DC5D48">
        <w:rPr>
          <w:b/>
          <w:bCs/>
        </w:rPr>
        <w:t>:</w:t>
      </w:r>
    </w:p>
    <w:p w14:paraId="48D674EE" w14:textId="1D20A5EF" w:rsidR="0007269A" w:rsidRPr="00DC5D48" w:rsidRDefault="00DC5D48" w:rsidP="00DC5D48">
      <w:pPr>
        <w:pStyle w:val="ListParagraph"/>
        <w:numPr>
          <w:ilvl w:val="0"/>
          <w:numId w:val="5"/>
        </w:numPr>
        <w:rPr>
          <w:b/>
          <w:bCs/>
        </w:rPr>
      </w:pPr>
      <w:r>
        <w:t>Assign weights to indicators (a weight of 0 can be used to exclude an indicator)</w:t>
      </w:r>
    </w:p>
    <w:p w14:paraId="0779FB80" w14:textId="5CE36D88" w:rsidR="00DC5D48" w:rsidRDefault="00B0006C" w:rsidP="00DC5D48">
      <w:pPr>
        <w:pStyle w:val="ListParagraph"/>
        <w:numPr>
          <w:ilvl w:val="0"/>
          <w:numId w:val="5"/>
        </w:numPr>
      </w:pPr>
      <w:r w:rsidRPr="00B0006C">
        <w:t>Select</w:t>
      </w:r>
      <w:r>
        <w:t xml:space="preserve"> population by county using a PM mortality threshold (range is 0.66 – 19.1 per 10,000), ozone mortality threshold (range is 0.11 – 2 per 10,000) and/r HAP Risk threshold (range is 9 to 414 / million)</w:t>
      </w:r>
    </w:p>
    <w:p w14:paraId="59E024F9" w14:textId="4DA5773B" w:rsidR="00B0006C" w:rsidRDefault="00B0006C" w:rsidP="00DC5D48">
      <w:pPr>
        <w:pStyle w:val="ListParagraph"/>
        <w:numPr>
          <w:ilvl w:val="0"/>
          <w:numId w:val="5"/>
        </w:numPr>
      </w:pPr>
      <w:r>
        <w:lastRenderedPageBreak/>
        <w:t>Include % reduction by sector/pollutant for NOx, PM2.5, and/or SO2 to use in benefit estimate indicators</w:t>
      </w:r>
    </w:p>
    <w:p w14:paraId="3C84A349" w14:textId="770B49F0" w:rsidR="0007269A" w:rsidRDefault="0007269A" w:rsidP="0007269A">
      <w:pPr>
        <w:pStyle w:val="Heading1"/>
      </w:pPr>
      <w:r>
        <w:t>Approach</w:t>
      </w:r>
    </w:p>
    <w:p w14:paraId="6F49E59B" w14:textId="77777777" w:rsidR="0007269A" w:rsidRDefault="0007269A" w:rsidP="0007269A">
      <w:pPr>
        <w:pStyle w:val="ListParagraph"/>
        <w:numPr>
          <w:ilvl w:val="0"/>
          <w:numId w:val="3"/>
        </w:numPr>
      </w:pPr>
      <w:r w:rsidRPr="000211F2">
        <w:t xml:space="preserve">For </w:t>
      </w:r>
      <w:r>
        <w:t>each indicator, rank top 10 sectors by pollutant mass</w:t>
      </w:r>
    </w:p>
    <w:p w14:paraId="00FA54F6" w14:textId="4271AEF4" w:rsidR="0007269A" w:rsidRDefault="0007269A" w:rsidP="0007269A">
      <w:pPr>
        <w:pStyle w:val="ListParagraph"/>
        <w:numPr>
          <w:ilvl w:val="0"/>
          <w:numId w:val="3"/>
        </w:numPr>
      </w:pPr>
      <w:r>
        <w:t>For sectors in the top 10, assign score (score = 11 minus rank; e.g., a rank of 1 has a score of 10)</w:t>
      </w:r>
    </w:p>
    <w:p w14:paraId="1E9A1957" w14:textId="77777777" w:rsidR="0007269A" w:rsidRPr="000211F2" w:rsidRDefault="0007269A" w:rsidP="0007269A">
      <w:pPr>
        <w:pStyle w:val="ListParagraph"/>
        <w:numPr>
          <w:ilvl w:val="0"/>
          <w:numId w:val="3"/>
        </w:numPr>
      </w:pPr>
      <w:r>
        <w:t>Sum scores across indicators</w:t>
      </w:r>
    </w:p>
    <w:p w14:paraId="6781013D" w14:textId="07206ED5" w:rsidR="0007269A" w:rsidRDefault="0007269A" w:rsidP="00A763EF">
      <w:pPr>
        <w:ind w:firstLine="360"/>
      </w:pPr>
      <w:r>
        <w:t>See separate file “Draft Multipollutant Emissions Analysis v3.docx”</w:t>
      </w:r>
    </w:p>
    <w:p w14:paraId="02489190" w14:textId="7EE40CF8" w:rsidR="009D4255" w:rsidRPr="0007269A" w:rsidRDefault="009D4255" w:rsidP="009D4255">
      <w:r>
        <w:t xml:space="preserve">Additions since the original method have been made based on various suggestion and are list in Section </w:t>
      </w:r>
      <w:r>
        <w:fldChar w:fldCharType="begin"/>
      </w:r>
      <w:r>
        <w:instrText xml:space="preserve"> REF _Ref64901229 \r \h </w:instrText>
      </w:r>
      <w:r>
        <w:fldChar w:fldCharType="separate"/>
      </w:r>
      <w:r>
        <w:t>5</w:t>
      </w:r>
      <w:r>
        <w:fldChar w:fldCharType="end"/>
      </w:r>
      <w:r>
        <w:t>.</w:t>
      </w:r>
    </w:p>
    <w:p w14:paraId="07EB8C92" w14:textId="53DED24A" w:rsidR="003A5745" w:rsidRDefault="00512920" w:rsidP="002B685F">
      <w:pPr>
        <w:pStyle w:val="Heading1"/>
      </w:pPr>
      <w:r>
        <w:t>Results</w:t>
      </w:r>
    </w:p>
    <w:p w14:paraId="56888716" w14:textId="4ACE6BF4" w:rsidR="00512920" w:rsidRDefault="002B685F" w:rsidP="00512920">
      <w:r>
        <w:rPr>
          <w:rFonts w:cstheme="minorHAnsi"/>
        </w:rPr>
        <w:t xml:space="preserve">This work illustrates using the method and indicators described above to prioritize stationary source sectors for GHG actions.  As such, the initial ranking of sectors focuses only on GHG emissions.  For illustration purposes, CO2 and CH4 have been included because they are the dominate GHGs, and EC is included because it is a short-lived climate forcer that is readily available for both point and nonpoint sources.  </w:t>
      </w:r>
      <w:r w:rsidR="0061672C">
        <w:rPr>
          <w:rFonts w:cstheme="minorHAnsi"/>
        </w:rPr>
        <w:t xml:space="preserve"> For all examples, we have selected the top 15 sectors</w:t>
      </w:r>
      <w:r w:rsidR="000E162E">
        <w:rPr>
          <w:rFonts w:cstheme="minorHAnsi"/>
        </w:rPr>
        <w:t xml:space="preserve"> identified with the scoring criteria.</w:t>
      </w:r>
    </w:p>
    <w:p w14:paraId="3447A3E5" w14:textId="03EFCF35" w:rsidR="00CA2065" w:rsidRDefault="002B685F" w:rsidP="00CA2065">
      <w:pPr>
        <w:pStyle w:val="Heading2"/>
      </w:pPr>
      <w:bookmarkStart w:id="1" w:name="_Ref64901861"/>
      <w:r>
        <w:t>Initial screen</w:t>
      </w:r>
      <w:r w:rsidR="00CA2065">
        <w:t xml:space="preserve"> with GHGs only</w:t>
      </w:r>
      <w:bookmarkEnd w:id="1"/>
    </w:p>
    <w:p w14:paraId="1CCD9126" w14:textId="03E502FB" w:rsidR="002B685F" w:rsidRPr="002B685F" w:rsidRDefault="0061672C">
      <w:r>
        <w:t>This initial screen e</w:t>
      </w:r>
      <w:r w:rsidR="002B685F">
        <w:t>valuate</w:t>
      </w:r>
      <w:r>
        <w:t>s</w:t>
      </w:r>
      <w:r w:rsidR="002B685F">
        <w:t xml:space="preserve"> </w:t>
      </w:r>
      <w:r>
        <w:t xml:space="preserve">the </w:t>
      </w:r>
      <w:r w:rsidR="002B685F">
        <w:t>impact of adding EC to the selection of sectors</w:t>
      </w:r>
      <w:r w:rsidR="005E503A">
        <w:t xml:space="preserve"> under three scenarios: (1)</w:t>
      </w:r>
      <w:r>
        <w:t> </w:t>
      </w:r>
      <w:r w:rsidR="005E503A">
        <w:t>EC excluded, (2) EC weight is 50% of weights for CO2 and CH4, and (3) equal weight for all three.</w:t>
      </w:r>
    </w:p>
    <w:p w14:paraId="29C800B9" w14:textId="57386592" w:rsidR="00512920" w:rsidRDefault="00512920">
      <w:r>
        <w:rPr>
          <w:b/>
          <w:bCs/>
        </w:rPr>
        <w:t xml:space="preserve">Findings: </w:t>
      </w:r>
      <w:r w:rsidRPr="00512920">
        <w:t xml:space="preserve">Assuming </w:t>
      </w:r>
      <w:r>
        <w:t>equal weighting for CO2 and CH4, the results are sensitive to whether EC is included</w:t>
      </w:r>
      <w:r w:rsidR="0061672C">
        <w:t xml:space="preserve"> in that nonpoint sectors move onto the top 15 list</w:t>
      </w:r>
      <w:r>
        <w:t xml:space="preserve">.  Since the tool is limited by not having CO2 and CH4 for nonpoint sources, nonpoint sources only show up in the top 15 if EC is included when only looking at GHG reductions.  </w:t>
      </w:r>
      <w:r w:rsidR="000E162E">
        <w:t>In addition, EC changes the relative rankings of some point source sectors.</w:t>
      </w:r>
    </w:p>
    <w:p w14:paraId="3B29F6E9" w14:textId="05F9EEE1" w:rsidR="00512920" w:rsidRDefault="006A4A08">
      <w:r>
        <w:rPr>
          <w:b/>
          <w:bCs/>
        </w:rPr>
        <w:t>Follow-up</w:t>
      </w:r>
      <w:r w:rsidR="009D4255">
        <w:rPr>
          <w:b/>
          <w:bCs/>
        </w:rPr>
        <w:t>/discussion</w:t>
      </w:r>
      <w:r w:rsidR="00512920">
        <w:rPr>
          <w:b/>
          <w:bCs/>
        </w:rPr>
        <w:t xml:space="preserve">: </w:t>
      </w:r>
      <w:r w:rsidR="000E162E">
        <w:t>D</w:t>
      </w:r>
      <w:r w:rsidR="00512920">
        <w:t>ecide whether EC should be a factor in the sectors selected, and its weighting relative to CO2 and CH4.</w:t>
      </w:r>
    </w:p>
    <w:p w14:paraId="14FCE0D7" w14:textId="05293F8F" w:rsidR="005E503A" w:rsidRDefault="005E503A" w:rsidP="007D3912">
      <w:pPr>
        <w:pStyle w:val="Caption"/>
        <w:keepNext/>
      </w:pPr>
      <w:r w:rsidRPr="00C70DD5">
        <w:rPr>
          <w:b/>
          <w:bCs/>
        </w:rPr>
        <w:t xml:space="preserve">Table </w:t>
      </w:r>
      <w:r w:rsidRPr="00C70DD5">
        <w:rPr>
          <w:b/>
          <w:bCs/>
        </w:rPr>
        <w:fldChar w:fldCharType="begin"/>
      </w:r>
      <w:r w:rsidRPr="00C70DD5">
        <w:rPr>
          <w:b/>
          <w:bCs/>
        </w:rPr>
        <w:instrText xml:space="preserve"> SEQ Table \* ARABIC </w:instrText>
      </w:r>
      <w:r w:rsidRPr="00C70DD5">
        <w:rPr>
          <w:b/>
          <w:bCs/>
        </w:rPr>
        <w:fldChar w:fldCharType="separate"/>
      </w:r>
      <w:r w:rsidR="00550184">
        <w:rPr>
          <w:b/>
          <w:bCs/>
          <w:noProof/>
        </w:rPr>
        <w:t>1</w:t>
      </w:r>
      <w:r w:rsidRPr="00C70DD5">
        <w:rPr>
          <w:b/>
          <w:bCs/>
        </w:rPr>
        <w:fldChar w:fldCharType="end"/>
      </w:r>
      <w:r w:rsidRPr="00C70DD5">
        <w:rPr>
          <w:b/>
          <w:bCs/>
        </w:rPr>
        <w:t>:</w:t>
      </w:r>
      <w:r>
        <w:t xml:space="preserve"> Top 15 sectors identified and listed by rank under three weighting scenarios using GHG indicators.</w:t>
      </w:r>
      <w:r w:rsidR="00BE3327">
        <w:t xml:space="preserve">  Scores shown are for scenario 3.</w:t>
      </w:r>
    </w:p>
    <w:tbl>
      <w:tblPr>
        <w:tblW w:w="9525" w:type="dxa"/>
        <w:tblLayout w:type="fixed"/>
        <w:tblCellMar>
          <w:left w:w="0" w:type="dxa"/>
          <w:right w:w="0" w:type="dxa"/>
        </w:tblCellMar>
        <w:tblLook w:val="04A0" w:firstRow="1" w:lastRow="0" w:firstColumn="1" w:lastColumn="0" w:noHBand="0" w:noVBand="1"/>
      </w:tblPr>
      <w:tblGrid>
        <w:gridCol w:w="3855"/>
        <w:gridCol w:w="630"/>
        <w:gridCol w:w="749"/>
        <w:gridCol w:w="4291"/>
      </w:tblGrid>
      <w:tr w:rsidR="00BE3327" w14:paraId="14679DDF" w14:textId="77777777" w:rsidTr="006A4A08">
        <w:trPr>
          <w:tblHeader/>
        </w:trPr>
        <w:tc>
          <w:tcPr>
            <w:tcW w:w="3855"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vAlign w:val="bottom"/>
            <w:hideMark/>
          </w:tcPr>
          <w:p w14:paraId="1C4598E4" w14:textId="77777777" w:rsidR="00BE3327" w:rsidRDefault="00BE3327" w:rsidP="007D3912">
            <w:pPr>
              <w:keepNext/>
              <w:spacing w:before="100" w:beforeAutospacing="1" w:after="100" w:afterAutospacing="1"/>
              <w:rPr>
                <w:b/>
                <w:bCs/>
                <w:color w:val="000000"/>
                <w:sz w:val="20"/>
                <w:szCs w:val="20"/>
              </w:rPr>
            </w:pPr>
            <w:r>
              <w:rPr>
                <w:b/>
                <w:bCs/>
                <w:color w:val="000000"/>
                <w:sz w:val="20"/>
                <w:szCs w:val="20"/>
              </w:rPr>
              <w:t>Sector</w:t>
            </w:r>
          </w:p>
        </w:tc>
        <w:tc>
          <w:tcPr>
            <w:tcW w:w="630" w:type="dxa"/>
            <w:tcBorders>
              <w:top w:val="single" w:sz="12" w:space="0" w:color="auto"/>
              <w:left w:val="nil"/>
              <w:bottom w:val="single" w:sz="12" w:space="0" w:color="auto"/>
              <w:right w:val="single" w:sz="8" w:space="0" w:color="auto"/>
            </w:tcBorders>
          </w:tcPr>
          <w:p w14:paraId="29F4BCB8" w14:textId="2DF2C8F2" w:rsidR="00BE3327" w:rsidRDefault="00BE3327" w:rsidP="007D3912">
            <w:pPr>
              <w:keepNext/>
              <w:spacing w:before="100" w:beforeAutospacing="1" w:after="100" w:afterAutospacing="1"/>
              <w:jc w:val="center"/>
              <w:rPr>
                <w:b/>
                <w:bCs/>
                <w:color w:val="000000"/>
                <w:sz w:val="20"/>
                <w:szCs w:val="20"/>
              </w:rPr>
            </w:pPr>
            <w:r>
              <w:rPr>
                <w:b/>
                <w:bCs/>
                <w:color w:val="000000"/>
                <w:sz w:val="20"/>
                <w:szCs w:val="20"/>
              </w:rPr>
              <w:t>Score</w:t>
            </w:r>
          </w:p>
        </w:tc>
        <w:tc>
          <w:tcPr>
            <w:tcW w:w="749" w:type="dxa"/>
            <w:tcBorders>
              <w:top w:val="single" w:sz="12" w:space="0" w:color="auto"/>
              <w:left w:val="single" w:sz="8" w:space="0" w:color="auto"/>
              <w:bottom w:val="single" w:sz="12" w:space="0" w:color="auto"/>
              <w:right w:val="single" w:sz="8" w:space="0" w:color="auto"/>
            </w:tcBorders>
            <w:tcMar>
              <w:top w:w="0" w:type="dxa"/>
              <w:left w:w="108" w:type="dxa"/>
              <w:bottom w:w="0" w:type="dxa"/>
              <w:right w:w="108" w:type="dxa"/>
            </w:tcMar>
            <w:hideMark/>
          </w:tcPr>
          <w:p w14:paraId="35073600" w14:textId="3155218C" w:rsidR="00BE3327" w:rsidRDefault="00BE3327" w:rsidP="007D3912">
            <w:pPr>
              <w:keepNext/>
              <w:spacing w:before="100" w:beforeAutospacing="1" w:after="100" w:afterAutospacing="1"/>
              <w:rPr>
                <w:b/>
                <w:bCs/>
                <w:color w:val="000000"/>
                <w:sz w:val="20"/>
                <w:szCs w:val="20"/>
              </w:rPr>
            </w:pPr>
            <w:r>
              <w:rPr>
                <w:b/>
                <w:bCs/>
                <w:color w:val="000000"/>
                <w:sz w:val="20"/>
                <w:szCs w:val="20"/>
              </w:rPr>
              <w:t>Point?</w:t>
            </w:r>
          </w:p>
        </w:tc>
        <w:tc>
          <w:tcPr>
            <w:tcW w:w="4291" w:type="dxa"/>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14:paraId="70AF694D" w14:textId="77777777" w:rsidR="00BE3327" w:rsidRDefault="00BE3327" w:rsidP="00615927">
            <w:pPr>
              <w:spacing w:before="100" w:beforeAutospacing="1" w:after="100" w:afterAutospacing="1"/>
              <w:rPr>
                <w:b/>
                <w:bCs/>
                <w:color w:val="000000"/>
                <w:sz w:val="20"/>
                <w:szCs w:val="20"/>
              </w:rPr>
            </w:pPr>
            <w:r>
              <w:rPr>
                <w:b/>
                <w:bCs/>
                <w:color w:val="000000"/>
                <w:sz w:val="20"/>
                <w:szCs w:val="20"/>
              </w:rPr>
              <w:t>Status in Top 15</w:t>
            </w:r>
          </w:p>
        </w:tc>
      </w:tr>
      <w:tr w:rsidR="00BE3327" w14:paraId="39731746" w14:textId="77777777" w:rsidTr="006A4A08">
        <w:tc>
          <w:tcPr>
            <w:tcW w:w="385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662020E4" w14:textId="5059403A" w:rsidR="00BE3327" w:rsidRDefault="00BE3327" w:rsidP="007D3912">
            <w:pPr>
              <w:keepNext/>
              <w:spacing w:before="100" w:beforeAutospacing="1" w:after="100" w:afterAutospacing="1" w:line="240" w:lineRule="auto"/>
              <w:rPr>
                <w:sz w:val="20"/>
                <w:szCs w:val="20"/>
              </w:rPr>
            </w:pPr>
            <w:r w:rsidRPr="000872A1">
              <w:rPr>
                <w:rFonts w:ascii="Calibri" w:hAnsi="Calibri" w:cs="Calibri"/>
                <w:color w:val="000000"/>
                <w:sz w:val="20"/>
                <w:szCs w:val="20"/>
              </w:rPr>
              <w:t>EGUs</w:t>
            </w:r>
          </w:p>
        </w:tc>
        <w:tc>
          <w:tcPr>
            <w:tcW w:w="630" w:type="dxa"/>
            <w:tcBorders>
              <w:top w:val="single" w:sz="12" w:space="0" w:color="auto"/>
              <w:left w:val="nil"/>
              <w:bottom w:val="single" w:sz="8" w:space="0" w:color="auto"/>
              <w:right w:val="single" w:sz="8" w:space="0" w:color="auto"/>
            </w:tcBorders>
          </w:tcPr>
          <w:p w14:paraId="5C678808" w14:textId="01057446"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23</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799AC376" w14:textId="2CF8B5E9"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val="restart"/>
            <w:tcBorders>
              <w:top w:val="single" w:sz="12" w:space="0" w:color="auto"/>
              <w:left w:val="nil"/>
              <w:right w:val="single" w:sz="12" w:space="0" w:color="auto"/>
            </w:tcBorders>
            <w:tcMar>
              <w:top w:w="0" w:type="dxa"/>
              <w:left w:w="108" w:type="dxa"/>
              <w:bottom w:w="0" w:type="dxa"/>
              <w:right w:w="108" w:type="dxa"/>
            </w:tcMar>
            <w:vAlign w:val="center"/>
            <w:hideMark/>
          </w:tcPr>
          <w:p w14:paraId="414970A4" w14:textId="77777777" w:rsidR="00BE3327" w:rsidRDefault="00BE3327" w:rsidP="00615927">
            <w:pPr>
              <w:spacing w:before="100" w:beforeAutospacing="1" w:after="100" w:afterAutospacing="1" w:line="240" w:lineRule="auto"/>
              <w:rPr>
                <w:color w:val="000000"/>
                <w:sz w:val="20"/>
                <w:szCs w:val="20"/>
              </w:rPr>
            </w:pPr>
            <w:r>
              <w:rPr>
                <w:color w:val="000000"/>
                <w:sz w:val="20"/>
                <w:szCs w:val="20"/>
              </w:rPr>
              <w:t>Always on list for 3 scenarios</w:t>
            </w:r>
          </w:p>
        </w:tc>
      </w:tr>
      <w:tr w:rsidR="00BE3327" w14:paraId="238063CC"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0F50AE27" w14:textId="165FAEDF" w:rsidR="00BE3327" w:rsidRDefault="00BE3327" w:rsidP="007D3912">
            <w:pPr>
              <w:keepNext/>
              <w:spacing w:before="100" w:beforeAutospacing="1" w:after="100" w:afterAutospacing="1" w:line="240" w:lineRule="auto"/>
              <w:rPr>
                <w:sz w:val="20"/>
                <w:szCs w:val="20"/>
              </w:rPr>
            </w:pPr>
            <w:r w:rsidRPr="000872A1">
              <w:rPr>
                <w:rFonts w:ascii="Calibri" w:hAnsi="Calibri" w:cs="Calibri"/>
                <w:color w:val="000000"/>
                <w:sz w:val="20"/>
                <w:szCs w:val="20"/>
              </w:rPr>
              <w:t>Other Point</w:t>
            </w:r>
          </w:p>
        </w:tc>
        <w:tc>
          <w:tcPr>
            <w:tcW w:w="630" w:type="dxa"/>
            <w:tcBorders>
              <w:top w:val="nil"/>
              <w:left w:val="nil"/>
              <w:bottom w:val="single" w:sz="8" w:space="0" w:color="auto"/>
              <w:right w:val="single" w:sz="8" w:space="0" w:color="auto"/>
            </w:tcBorders>
          </w:tcPr>
          <w:p w14:paraId="7986F783" w14:textId="270E04BC"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17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535B9DA" w14:textId="0ADA7353"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1927B611"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11B3F173"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0F8156BD" w14:textId="30A3C8EB" w:rsidR="00BE3327" w:rsidRDefault="00BE3327" w:rsidP="007D3912">
            <w:pPr>
              <w:keepNext/>
              <w:spacing w:before="100" w:beforeAutospacing="1" w:after="100" w:afterAutospacing="1" w:line="240" w:lineRule="auto"/>
              <w:rPr>
                <w:sz w:val="20"/>
                <w:szCs w:val="20"/>
              </w:rPr>
            </w:pPr>
            <w:r w:rsidRPr="000872A1">
              <w:rPr>
                <w:rFonts w:ascii="Calibri" w:hAnsi="Calibri" w:cs="Calibri"/>
                <w:color w:val="000000"/>
                <w:sz w:val="20"/>
                <w:szCs w:val="20"/>
              </w:rPr>
              <w:t>Oil &amp; natural gas</w:t>
            </w:r>
          </w:p>
        </w:tc>
        <w:tc>
          <w:tcPr>
            <w:tcW w:w="630" w:type="dxa"/>
            <w:tcBorders>
              <w:top w:val="nil"/>
              <w:left w:val="nil"/>
              <w:bottom w:val="single" w:sz="8" w:space="0" w:color="auto"/>
              <w:right w:val="single" w:sz="8" w:space="0" w:color="auto"/>
            </w:tcBorders>
          </w:tcPr>
          <w:p w14:paraId="2669C7A1" w14:textId="0CD87927"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14</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FE94B07" w14:textId="49D25DEA"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63F0387D"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33DCDC9D"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3F427AAE" w14:textId="011D0D07" w:rsidR="00BE3327" w:rsidRDefault="00BE3327" w:rsidP="007D3912">
            <w:pPr>
              <w:keepNext/>
              <w:spacing w:before="100" w:beforeAutospacing="1" w:after="100" w:afterAutospacing="1" w:line="240" w:lineRule="auto"/>
              <w:rPr>
                <w:color w:val="000000"/>
                <w:sz w:val="20"/>
                <w:szCs w:val="20"/>
              </w:rPr>
            </w:pPr>
            <w:r w:rsidRPr="000872A1">
              <w:rPr>
                <w:rFonts w:ascii="Calibri" w:hAnsi="Calibri" w:cs="Calibri"/>
                <w:color w:val="000000"/>
                <w:sz w:val="20"/>
                <w:szCs w:val="20"/>
              </w:rPr>
              <w:t>Refineries</w:t>
            </w:r>
          </w:p>
        </w:tc>
        <w:tc>
          <w:tcPr>
            <w:tcW w:w="630" w:type="dxa"/>
            <w:tcBorders>
              <w:top w:val="nil"/>
              <w:left w:val="nil"/>
              <w:bottom w:val="single" w:sz="8" w:space="0" w:color="auto"/>
              <w:right w:val="single" w:sz="8" w:space="0" w:color="auto"/>
            </w:tcBorders>
          </w:tcPr>
          <w:p w14:paraId="2D1E2A64" w14:textId="4AFE0788"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14</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4693E00" w14:textId="431C3B5D"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047C6936"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6FF33E5A"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3B083C04" w14:textId="7D56991C" w:rsidR="00BE3327" w:rsidRDefault="00BE3327" w:rsidP="007D3912">
            <w:pPr>
              <w:keepNext/>
              <w:spacing w:before="100" w:beforeAutospacing="1" w:after="100" w:afterAutospacing="1" w:line="240" w:lineRule="auto"/>
              <w:rPr>
                <w:sz w:val="20"/>
                <w:szCs w:val="20"/>
              </w:rPr>
            </w:pPr>
            <w:r w:rsidRPr="000872A1">
              <w:rPr>
                <w:rFonts w:ascii="Calibri" w:hAnsi="Calibri" w:cs="Calibri"/>
                <w:color w:val="000000"/>
                <w:sz w:val="20"/>
                <w:szCs w:val="20"/>
              </w:rPr>
              <w:t>Landfill</w:t>
            </w:r>
          </w:p>
        </w:tc>
        <w:tc>
          <w:tcPr>
            <w:tcW w:w="630" w:type="dxa"/>
            <w:tcBorders>
              <w:top w:val="nil"/>
              <w:left w:val="nil"/>
              <w:bottom w:val="single" w:sz="8" w:space="0" w:color="auto"/>
              <w:right w:val="single" w:sz="8" w:space="0" w:color="auto"/>
            </w:tcBorders>
          </w:tcPr>
          <w:p w14:paraId="197A8B47" w14:textId="26ECFAF8"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5F33C25" w14:textId="794CFC5E"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1F57375A"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751D73DC"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61ABE78C" w14:textId="7B522FDC" w:rsidR="00BE3327" w:rsidRDefault="00BE3327" w:rsidP="007D3912">
            <w:pPr>
              <w:keepNext/>
              <w:spacing w:before="100" w:beforeAutospacing="1" w:after="100" w:afterAutospacing="1" w:line="240" w:lineRule="auto"/>
              <w:rPr>
                <w:sz w:val="20"/>
                <w:szCs w:val="20"/>
              </w:rPr>
            </w:pPr>
            <w:r w:rsidRPr="000872A1">
              <w:rPr>
                <w:rFonts w:ascii="Calibri" w:hAnsi="Calibri" w:cs="Calibri"/>
                <w:color w:val="000000"/>
                <w:sz w:val="20"/>
                <w:szCs w:val="20"/>
              </w:rPr>
              <w:t>Waste Combustion &amp; Treatment</w:t>
            </w:r>
          </w:p>
        </w:tc>
        <w:tc>
          <w:tcPr>
            <w:tcW w:w="630" w:type="dxa"/>
            <w:tcBorders>
              <w:top w:val="nil"/>
              <w:left w:val="nil"/>
              <w:bottom w:val="single" w:sz="8" w:space="0" w:color="auto"/>
              <w:right w:val="single" w:sz="8" w:space="0" w:color="auto"/>
            </w:tcBorders>
          </w:tcPr>
          <w:p w14:paraId="176BF116" w14:textId="71AF97AB"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1ADED295" w14:textId="0D3DD047"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7141671B"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1D5411BF"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05F2C546" w14:textId="7E491FCB" w:rsidR="00BE3327" w:rsidRDefault="00BE3327" w:rsidP="007D3912">
            <w:pPr>
              <w:keepNext/>
              <w:spacing w:before="100" w:beforeAutospacing="1" w:after="100" w:afterAutospacing="1" w:line="240" w:lineRule="auto"/>
              <w:rPr>
                <w:sz w:val="20"/>
                <w:szCs w:val="20"/>
              </w:rPr>
            </w:pPr>
            <w:r w:rsidRPr="000872A1">
              <w:rPr>
                <w:rFonts w:ascii="Calibri" w:hAnsi="Calibri" w:cs="Calibri"/>
                <w:color w:val="000000"/>
                <w:sz w:val="20"/>
                <w:szCs w:val="20"/>
              </w:rPr>
              <w:t xml:space="preserve">Other </w:t>
            </w:r>
            <w:r w:rsidR="00513A3A">
              <w:rPr>
                <w:rFonts w:ascii="Calibri" w:hAnsi="Calibri" w:cs="Calibri"/>
                <w:color w:val="000000"/>
                <w:sz w:val="20"/>
                <w:szCs w:val="20"/>
              </w:rPr>
              <w:t>M</w:t>
            </w:r>
            <w:r w:rsidRPr="000872A1">
              <w:rPr>
                <w:rFonts w:ascii="Calibri" w:hAnsi="Calibri" w:cs="Calibri"/>
                <w:color w:val="000000"/>
                <w:sz w:val="20"/>
                <w:szCs w:val="20"/>
              </w:rPr>
              <w:t>etal</w:t>
            </w:r>
            <w:r w:rsidR="00513A3A">
              <w:rPr>
                <w:rFonts w:ascii="Calibri" w:hAnsi="Calibri" w:cs="Calibri"/>
                <w:color w:val="000000"/>
                <w:sz w:val="20"/>
                <w:szCs w:val="20"/>
              </w:rPr>
              <w:t xml:space="preserve"> Manufacturing</w:t>
            </w:r>
          </w:p>
        </w:tc>
        <w:tc>
          <w:tcPr>
            <w:tcW w:w="630" w:type="dxa"/>
            <w:tcBorders>
              <w:top w:val="nil"/>
              <w:left w:val="nil"/>
              <w:bottom w:val="single" w:sz="8" w:space="0" w:color="auto"/>
              <w:right w:val="single" w:sz="8" w:space="0" w:color="auto"/>
            </w:tcBorders>
          </w:tcPr>
          <w:p w14:paraId="36CE42BA" w14:textId="6BA289DB"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D86B5C4" w14:textId="230CA2CC"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43F807E7"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75EEDEE0"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3D398449" w14:textId="6630C667" w:rsidR="00BE3327" w:rsidRDefault="00BE3327" w:rsidP="007D3912">
            <w:pPr>
              <w:keepNext/>
              <w:spacing w:before="100" w:beforeAutospacing="1" w:after="100" w:afterAutospacing="1" w:line="240" w:lineRule="auto"/>
              <w:rPr>
                <w:sz w:val="20"/>
                <w:szCs w:val="20"/>
              </w:rPr>
            </w:pPr>
            <w:r w:rsidRPr="000872A1">
              <w:rPr>
                <w:rFonts w:ascii="Calibri" w:hAnsi="Calibri" w:cs="Calibri"/>
                <w:color w:val="000000"/>
                <w:sz w:val="20"/>
                <w:szCs w:val="20"/>
              </w:rPr>
              <w:t>Mining (except taconite and O&amp;G)</w:t>
            </w:r>
          </w:p>
        </w:tc>
        <w:tc>
          <w:tcPr>
            <w:tcW w:w="630" w:type="dxa"/>
            <w:tcBorders>
              <w:top w:val="nil"/>
              <w:left w:val="nil"/>
              <w:bottom w:val="single" w:sz="8" w:space="0" w:color="auto"/>
              <w:right w:val="single" w:sz="8" w:space="0" w:color="auto"/>
            </w:tcBorders>
          </w:tcPr>
          <w:p w14:paraId="10E7165F" w14:textId="558F7531"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294AB53" w14:textId="21E2B283" w:rsidR="00BE3327" w:rsidRDefault="00BE3327" w:rsidP="007D3912">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7C7D81F0"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2FCC723E"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67E93FF8" w14:textId="24FF335A" w:rsidR="00BE3327" w:rsidRDefault="00BE3327" w:rsidP="007D3912">
            <w:pPr>
              <w:keepNext/>
              <w:spacing w:before="100" w:beforeAutospacing="1" w:after="100" w:afterAutospacing="1" w:line="240" w:lineRule="auto"/>
              <w:rPr>
                <w:sz w:val="20"/>
                <w:szCs w:val="20"/>
              </w:rPr>
            </w:pPr>
            <w:r w:rsidRPr="000872A1">
              <w:rPr>
                <w:rFonts w:ascii="Calibri" w:hAnsi="Calibri" w:cs="Calibri"/>
                <w:color w:val="000000"/>
                <w:sz w:val="20"/>
                <w:szCs w:val="20"/>
              </w:rPr>
              <w:t>Petrochemical Manufacturing</w:t>
            </w:r>
          </w:p>
        </w:tc>
        <w:tc>
          <w:tcPr>
            <w:tcW w:w="630" w:type="dxa"/>
            <w:tcBorders>
              <w:top w:val="nil"/>
              <w:left w:val="nil"/>
              <w:bottom w:val="single" w:sz="8" w:space="0" w:color="auto"/>
              <w:right w:val="single" w:sz="8" w:space="0" w:color="auto"/>
            </w:tcBorders>
          </w:tcPr>
          <w:p w14:paraId="3FBC0238" w14:textId="7B8FC285" w:rsidR="00BE3327" w:rsidRDefault="00BE3327" w:rsidP="007D3912">
            <w:pPr>
              <w:keepNext/>
              <w:spacing w:before="100" w:beforeAutospacing="1" w:after="100" w:afterAutospacing="1" w:line="240" w:lineRule="auto"/>
              <w:jc w:val="center"/>
              <w:rPr>
                <w:sz w:val="20"/>
                <w:szCs w:val="20"/>
              </w:rPr>
            </w:pPr>
            <w:r>
              <w:rPr>
                <w:sz w:val="20"/>
                <w:szCs w:val="20"/>
              </w:rPr>
              <w:t>6</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A47EC06" w14:textId="0C51F8A1" w:rsidR="00BE3327" w:rsidRDefault="00BE3327" w:rsidP="007D3912">
            <w:pPr>
              <w:keepNext/>
              <w:spacing w:before="100" w:beforeAutospacing="1" w:after="100" w:afterAutospacing="1" w:line="240" w:lineRule="auto"/>
              <w:jc w:val="center"/>
              <w:rPr>
                <w:sz w:val="20"/>
                <w:szCs w:val="20"/>
              </w:rPr>
            </w:pPr>
            <w:r>
              <w:rPr>
                <w:sz w:val="20"/>
                <w:szCs w:val="20"/>
              </w:rPr>
              <w:t>Y</w:t>
            </w:r>
          </w:p>
        </w:tc>
        <w:tc>
          <w:tcPr>
            <w:tcW w:w="4291" w:type="dxa"/>
            <w:vMerge/>
            <w:tcBorders>
              <w:left w:val="nil"/>
              <w:right w:val="single" w:sz="12" w:space="0" w:color="auto"/>
            </w:tcBorders>
            <w:vAlign w:val="center"/>
            <w:hideMark/>
          </w:tcPr>
          <w:p w14:paraId="3436A7B4"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356A7ED4" w14:textId="77777777" w:rsidTr="00BE3327">
        <w:tc>
          <w:tcPr>
            <w:tcW w:w="3855"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center"/>
            <w:hideMark/>
          </w:tcPr>
          <w:p w14:paraId="514783CC" w14:textId="59246000" w:rsidR="00BE3327" w:rsidRDefault="00BE3327" w:rsidP="00615927">
            <w:pPr>
              <w:spacing w:before="100" w:beforeAutospacing="1" w:after="100" w:afterAutospacing="1" w:line="240" w:lineRule="auto"/>
              <w:rPr>
                <w:sz w:val="20"/>
                <w:szCs w:val="20"/>
              </w:rPr>
            </w:pPr>
            <w:r w:rsidRPr="000872A1">
              <w:rPr>
                <w:rFonts w:ascii="Calibri" w:hAnsi="Calibri" w:cs="Calibri"/>
                <w:color w:val="000000"/>
                <w:sz w:val="20"/>
                <w:szCs w:val="20"/>
              </w:rPr>
              <w:t>Synthetic Organic Chemical Industry</w:t>
            </w:r>
          </w:p>
        </w:tc>
        <w:tc>
          <w:tcPr>
            <w:tcW w:w="630" w:type="dxa"/>
            <w:tcBorders>
              <w:top w:val="nil"/>
              <w:left w:val="nil"/>
              <w:bottom w:val="single" w:sz="12" w:space="0" w:color="auto"/>
              <w:right w:val="single" w:sz="8" w:space="0" w:color="auto"/>
            </w:tcBorders>
          </w:tcPr>
          <w:p w14:paraId="6D900655" w14:textId="552673D5" w:rsidR="00BE3327" w:rsidRDefault="00BE3327" w:rsidP="00615927">
            <w:pPr>
              <w:spacing w:before="100" w:beforeAutospacing="1" w:after="100" w:afterAutospacing="1" w:line="240" w:lineRule="auto"/>
              <w:jc w:val="center"/>
              <w:rPr>
                <w:color w:val="000000"/>
                <w:sz w:val="20"/>
                <w:szCs w:val="20"/>
              </w:rPr>
            </w:pPr>
            <w:r>
              <w:rPr>
                <w:color w:val="000000"/>
                <w:sz w:val="20"/>
                <w:szCs w:val="20"/>
              </w:rPr>
              <w:t>5</w:t>
            </w:r>
          </w:p>
        </w:tc>
        <w:tc>
          <w:tcPr>
            <w:tcW w:w="749"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bottom"/>
          </w:tcPr>
          <w:p w14:paraId="3F9809B1" w14:textId="2AADEDFF" w:rsidR="00BE3327" w:rsidRDefault="00BE3327" w:rsidP="00615927">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bottom w:val="single" w:sz="12" w:space="0" w:color="auto"/>
              <w:right w:val="single" w:sz="12" w:space="0" w:color="auto"/>
            </w:tcBorders>
            <w:vAlign w:val="center"/>
            <w:hideMark/>
          </w:tcPr>
          <w:p w14:paraId="46B8AA4F"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7A1E740E" w14:textId="77777777" w:rsidTr="00BE3327">
        <w:tc>
          <w:tcPr>
            <w:tcW w:w="385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tcPr>
          <w:p w14:paraId="4254336B" w14:textId="3C83676B" w:rsidR="00BE3327" w:rsidRPr="00615927" w:rsidRDefault="00BE3327" w:rsidP="007D3912">
            <w:pPr>
              <w:keepNext/>
              <w:spacing w:before="100" w:beforeAutospacing="1" w:after="100" w:afterAutospacing="1" w:line="240" w:lineRule="auto"/>
              <w:rPr>
                <w:color w:val="000000"/>
                <w:sz w:val="20"/>
                <w:szCs w:val="20"/>
              </w:rPr>
            </w:pPr>
            <w:r w:rsidRPr="00615927">
              <w:rPr>
                <w:sz w:val="20"/>
                <w:szCs w:val="20"/>
              </w:rPr>
              <w:lastRenderedPageBreak/>
              <w:t>Waste Disposal</w:t>
            </w:r>
          </w:p>
        </w:tc>
        <w:tc>
          <w:tcPr>
            <w:tcW w:w="630" w:type="dxa"/>
            <w:tcBorders>
              <w:top w:val="single" w:sz="12" w:space="0" w:color="auto"/>
              <w:left w:val="single" w:sz="8" w:space="0" w:color="auto"/>
              <w:bottom w:val="single" w:sz="8" w:space="0" w:color="auto"/>
              <w:right w:val="single" w:sz="8" w:space="0" w:color="auto"/>
            </w:tcBorders>
          </w:tcPr>
          <w:p w14:paraId="17AA3105" w14:textId="2BF00388" w:rsidR="00BE3327" w:rsidRDefault="00BE3327" w:rsidP="00615927">
            <w:pPr>
              <w:spacing w:before="100" w:beforeAutospacing="1" w:after="100" w:afterAutospacing="1" w:line="240" w:lineRule="auto"/>
              <w:jc w:val="center"/>
              <w:rPr>
                <w:color w:val="000000"/>
                <w:sz w:val="20"/>
                <w:szCs w:val="20"/>
              </w:rPr>
            </w:pPr>
            <w:r>
              <w:rPr>
                <w:color w:val="000000"/>
                <w:sz w:val="20"/>
                <w:szCs w:val="20"/>
              </w:rPr>
              <w:t>10</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345710E" w14:textId="494FDBA5" w:rsidR="00BE3327" w:rsidRDefault="00BE3327" w:rsidP="00615927">
            <w:pPr>
              <w:spacing w:before="100" w:beforeAutospacing="1" w:after="100" w:afterAutospacing="1" w:line="240" w:lineRule="auto"/>
              <w:jc w:val="center"/>
              <w:rPr>
                <w:color w:val="000000"/>
                <w:sz w:val="20"/>
                <w:szCs w:val="20"/>
              </w:rPr>
            </w:pPr>
          </w:p>
        </w:tc>
        <w:tc>
          <w:tcPr>
            <w:tcW w:w="4291" w:type="dxa"/>
            <w:vMerge w:val="restart"/>
            <w:tcBorders>
              <w:top w:val="nil"/>
              <w:left w:val="nil"/>
              <w:right w:val="single" w:sz="12" w:space="0" w:color="auto"/>
            </w:tcBorders>
            <w:tcMar>
              <w:top w:w="0" w:type="dxa"/>
              <w:left w:w="108" w:type="dxa"/>
              <w:bottom w:w="0" w:type="dxa"/>
              <w:right w:w="108" w:type="dxa"/>
            </w:tcMar>
            <w:vAlign w:val="center"/>
            <w:hideMark/>
          </w:tcPr>
          <w:p w14:paraId="0A0EF01E" w14:textId="025756B4" w:rsidR="00BE3327" w:rsidRDefault="00BE3327" w:rsidP="00615927">
            <w:pPr>
              <w:spacing w:before="100" w:beforeAutospacing="1" w:after="100" w:afterAutospacing="1" w:line="240" w:lineRule="auto"/>
              <w:rPr>
                <w:color w:val="000000"/>
                <w:sz w:val="20"/>
                <w:szCs w:val="20"/>
              </w:rPr>
            </w:pPr>
            <w:r>
              <w:rPr>
                <w:color w:val="000000"/>
                <w:sz w:val="20"/>
                <w:szCs w:val="20"/>
              </w:rPr>
              <w:t>Added to list at 50% EC weight</w:t>
            </w:r>
          </w:p>
        </w:tc>
      </w:tr>
      <w:tr w:rsidR="00BE3327" w14:paraId="68F45D66" w14:textId="77777777" w:rsidTr="00BE3327">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tcPr>
          <w:p w14:paraId="2315C860" w14:textId="05B7068C" w:rsidR="00BE3327" w:rsidRPr="00615927" w:rsidRDefault="00BE3327" w:rsidP="007D3912">
            <w:pPr>
              <w:keepNext/>
              <w:spacing w:before="100" w:beforeAutospacing="1" w:after="100" w:afterAutospacing="1" w:line="240" w:lineRule="auto"/>
              <w:rPr>
                <w:color w:val="000000"/>
                <w:sz w:val="20"/>
                <w:szCs w:val="20"/>
              </w:rPr>
            </w:pPr>
            <w:r w:rsidRPr="00615927">
              <w:rPr>
                <w:sz w:val="20"/>
                <w:szCs w:val="20"/>
              </w:rPr>
              <w:t>Fuel Comb</w:t>
            </w:r>
            <w:r>
              <w:rPr>
                <w:sz w:val="20"/>
                <w:szCs w:val="20"/>
              </w:rPr>
              <w:t>ustion</w:t>
            </w:r>
            <w:r w:rsidRPr="00615927">
              <w:rPr>
                <w:sz w:val="20"/>
                <w:szCs w:val="20"/>
              </w:rPr>
              <w:t xml:space="preserve"> - Residential - Wood</w:t>
            </w:r>
          </w:p>
        </w:tc>
        <w:tc>
          <w:tcPr>
            <w:tcW w:w="630" w:type="dxa"/>
            <w:tcBorders>
              <w:top w:val="single" w:sz="8" w:space="0" w:color="auto"/>
              <w:left w:val="single" w:sz="8" w:space="0" w:color="auto"/>
              <w:bottom w:val="single" w:sz="8" w:space="0" w:color="auto"/>
              <w:right w:val="single" w:sz="8" w:space="0" w:color="auto"/>
            </w:tcBorders>
          </w:tcPr>
          <w:p w14:paraId="39921B22" w14:textId="31C45099" w:rsidR="00BE3327" w:rsidRDefault="00BE3327" w:rsidP="00615927">
            <w:pPr>
              <w:spacing w:before="100" w:beforeAutospacing="1" w:after="100" w:afterAutospacing="1" w:line="240" w:lineRule="auto"/>
              <w:jc w:val="center"/>
              <w:rPr>
                <w:color w:val="000000"/>
                <w:sz w:val="20"/>
                <w:szCs w:val="20"/>
              </w:rPr>
            </w:pPr>
            <w:r>
              <w:rPr>
                <w:color w:val="000000"/>
                <w:sz w:val="20"/>
                <w:szCs w:val="20"/>
              </w:rPr>
              <w:t>9</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15B4C6AC" w14:textId="77274BC1" w:rsidR="00BE3327" w:rsidRDefault="00BE3327" w:rsidP="00615927">
            <w:pPr>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tcMar>
              <w:top w:w="0" w:type="dxa"/>
              <w:left w:w="108" w:type="dxa"/>
              <w:bottom w:w="0" w:type="dxa"/>
              <w:right w:w="108" w:type="dxa"/>
            </w:tcMar>
            <w:vAlign w:val="center"/>
          </w:tcPr>
          <w:p w14:paraId="53366603" w14:textId="77777777" w:rsidR="00BE3327" w:rsidRDefault="00BE3327" w:rsidP="00615927">
            <w:pPr>
              <w:spacing w:before="100" w:beforeAutospacing="1" w:after="100" w:afterAutospacing="1" w:line="240" w:lineRule="auto"/>
              <w:rPr>
                <w:color w:val="000000"/>
                <w:sz w:val="20"/>
                <w:szCs w:val="20"/>
              </w:rPr>
            </w:pPr>
          </w:p>
        </w:tc>
      </w:tr>
      <w:tr w:rsidR="00BE3327" w14:paraId="50455F17" w14:textId="77777777" w:rsidTr="00BE3327">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447C6648" w14:textId="1B72076C" w:rsidR="00BE3327" w:rsidRDefault="00BE3327" w:rsidP="007D3912">
            <w:pPr>
              <w:keepNext/>
              <w:spacing w:before="100" w:beforeAutospacing="1" w:after="100" w:afterAutospacing="1" w:line="240" w:lineRule="auto"/>
              <w:rPr>
                <w:color w:val="000000"/>
                <w:sz w:val="20"/>
                <w:szCs w:val="20"/>
              </w:rPr>
            </w:pPr>
            <w:r w:rsidRPr="00615927">
              <w:rPr>
                <w:color w:val="000000"/>
                <w:sz w:val="20"/>
                <w:szCs w:val="20"/>
              </w:rPr>
              <w:t>Agriculture - Crops &amp; Livestock Dust</w:t>
            </w:r>
          </w:p>
        </w:tc>
        <w:tc>
          <w:tcPr>
            <w:tcW w:w="630" w:type="dxa"/>
            <w:tcBorders>
              <w:top w:val="single" w:sz="8" w:space="0" w:color="auto"/>
              <w:left w:val="single" w:sz="8" w:space="0" w:color="auto"/>
              <w:bottom w:val="single" w:sz="8" w:space="0" w:color="auto"/>
              <w:right w:val="single" w:sz="8" w:space="0" w:color="auto"/>
            </w:tcBorders>
          </w:tcPr>
          <w:p w14:paraId="4E9BE3F5" w14:textId="5354CF67" w:rsidR="00BE3327" w:rsidRDefault="00BE3327" w:rsidP="00615927">
            <w:pPr>
              <w:spacing w:before="100" w:beforeAutospacing="1" w:after="100" w:afterAutospacing="1" w:line="240" w:lineRule="auto"/>
              <w:jc w:val="center"/>
              <w:rPr>
                <w:color w:val="000000"/>
                <w:sz w:val="20"/>
                <w:szCs w:val="20"/>
              </w:rPr>
            </w:pPr>
            <w:r>
              <w:rPr>
                <w:color w:val="000000"/>
                <w:sz w:val="20"/>
                <w:szCs w:val="20"/>
              </w:rPr>
              <w:t>8</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736CBD02" w14:textId="3527B01C" w:rsidR="00BE3327" w:rsidRDefault="00BE3327" w:rsidP="00615927">
            <w:pPr>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tcMar>
              <w:top w:w="0" w:type="dxa"/>
              <w:left w:w="108" w:type="dxa"/>
              <w:bottom w:w="0" w:type="dxa"/>
              <w:right w:w="108" w:type="dxa"/>
            </w:tcMar>
            <w:vAlign w:val="center"/>
          </w:tcPr>
          <w:p w14:paraId="2D9BE24D" w14:textId="77777777" w:rsidR="00BE3327" w:rsidRDefault="00BE3327" w:rsidP="00615927">
            <w:pPr>
              <w:spacing w:before="100" w:beforeAutospacing="1" w:after="100" w:afterAutospacing="1" w:line="240" w:lineRule="auto"/>
              <w:rPr>
                <w:color w:val="000000"/>
                <w:sz w:val="20"/>
                <w:szCs w:val="20"/>
              </w:rPr>
            </w:pPr>
          </w:p>
        </w:tc>
      </w:tr>
      <w:tr w:rsidR="00BE3327" w14:paraId="0663C51B" w14:textId="77777777" w:rsidTr="00BE3327">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tcPr>
          <w:p w14:paraId="048A40F9" w14:textId="57DADB4A" w:rsidR="00BE3327" w:rsidRPr="005E503A" w:rsidRDefault="00BE3327" w:rsidP="007D3912">
            <w:pPr>
              <w:keepNext/>
              <w:spacing w:before="100" w:beforeAutospacing="1" w:after="100" w:afterAutospacing="1" w:line="240" w:lineRule="auto"/>
              <w:rPr>
                <w:color w:val="000000"/>
                <w:sz w:val="20"/>
                <w:szCs w:val="20"/>
              </w:rPr>
            </w:pPr>
            <w:r w:rsidRPr="005E503A">
              <w:rPr>
                <w:sz w:val="20"/>
                <w:szCs w:val="20"/>
              </w:rPr>
              <w:t>Fuel Comb - Industrial Boilers, ICEs - Biomass</w:t>
            </w:r>
          </w:p>
        </w:tc>
        <w:tc>
          <w:tcPr>
            <w:tcW w:w="630" w:type="dxa"/>
            <w:tcBorders>
              <w:top w:val="single" w:sz="8" w:space="0" w:color="auto"/>
              <w:left w:val="single" w:sz="8" w:space="0" w:color="auto"/>
              <w:bottom w:val="single" w:sz="8" w:space="0" w:color="auto"/>
              <w:right w:val="single" w:sz="8" w:space="0" w:color="auto"/>
            </w:tcBorders>
          </w:tcPr>
          <w:p w14:paraId="064DDB55" w14:textId="77A589BE" w:rsidR="00BE3327" w:rsidRDefault="00BE3327" w:rsidP="005E503A">
            <w:pPr>
              <w:spacing w:before="100" w:beforeAutospacing="1" w:after="100" w:afterAutospacing="1" w:line="240" w:lineRule="auto"/>
              <w:jc w:val="center"/>
              <w:rPr>
                <w:color w:val="000000"/>
                <w:sz w:val="20"/>
                <w:szCs w:val="20"/>
              </w:rPr>
            </w:pPr>
            <w:r>
              <w:rPr>
                <w:color w:val="000000"/>
                <w:sz w:val="20"/>
                <w:szCs w:val="20"/>
              </w:rPr>
              <w:t>6</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46EB3B51" w14:textId="4D851A46" w:rsidR="00BE3327" w:rsidRDefault="00BE3327" w:rsidP="005E503A">
            <w:pPr>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tcMar>
              <w:top w:w="0" w:type="dxa"/>
              <w:left w:w="108" w:type="dxa"/>
              <w:bottom w:w="0" w:type="dxa"/>
              <w:right w:w="108" w:type="dxa"/>
            </w:tcMar>
            <w:vAlign w:val="center"/>
          </w:tcPr>
          <w:p w14:paraId="494F685E" w14:textId="77777777" w:rsidR="00BE3327" w:rsidRDefault="00BE3327" w:rsidP="005E503A">
            <w:pPr>
              <w:spacing w:before="100" w:beforeAutospacing="1" w:after="100" w:afterAutospacing="1" w:line="240" w:lineRule="auto"/>
              <w:rPr>
                <w:color w:val="000000"/>
                <w:sz w:val="20"/>
                <w:szCs w:val="20"/>
              </w:rPr>
            </w:pPr>
          </w:p>
        </w:tc>
      </w:tr>
      <w:tr w:rsidR="00BE3327" w14:paraId="267731B6" w14:textId="77777777" w:rsidTr="00BE3327">
        <w:tc>
          <w:tcPr>
            <w:tcW w:w="3855"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tcPr>
          <w:p w14:paraId="42852A25" w14:textId="021B8FFC" w:rsidR="00BE3327" w:rsidRPr="005E503A" w:rsidRDefault="00BE3327" w:rsidP="005E503A">
            <w:pPr>
              <w:spacing w:before="100" w:beforeAutospacing="1" w:after="100" w:afterAutospacing="1" w:line="240" w:lineRule="auto"/>
              <w:rPr>
                <w:color w:val="000000"/>
                <w:sz w:val="20"/>
                <w:szCs w:val="20"/>
              </w:rPr>
            </w:pPr>
            <w:r w:rsidRPr="005E503A">
              <w:rPr>
                <w:sz w:val="20"/>
                <w:szCs w:val="20"/>
              </w:rPr>
              <w:t>Commercial Cooking</w:t>
            </w:r>
          </w:p>
        </w:tc>
        <w:tc>
          <w:tcPr>
            <w:tcW w:w="630" w:type="dxa"/>
            <w:tcBorders>
              <w:top w:val="single" w:sz="8" w:space="0" w:color="auto"/>
              <w:left w:val="single" w:sz="8" w:space="0" w:color="auto"/>
              <w:bottom w:val="single" w:sz="12" w:space="0" w:color="auto"/>
              <w:right w:val="single" w:sz="8" w:space="0" w:color="auto"/>
            </w:tcBorders>
          </w:tcPr>
          <w:p w14:paraId="0A4434B4" w14:textId="24A22A5F" w:rsidR="00BE3327" w:rsidRDefault="00BE3327" w:rsidP="005E503A">
            <w:pPr>
              <w:spacing w:before="100" w:beforeAutospacing="1" w:after="100" w:afterAutospacing="1" w:line="240" w:lineRule="auto"/>
              <w:jc w:val="center"/>
              <w:rPr>
                <w:color w:val="000000"/>
                <w:sz w:val="20"/>
                <w:szCs w:val="20"/>
              </w:rPr>
            </w:pPr>
            <w:r>
              <w:rPr>
                <w:color w:val="000000"/>
                <w:sz w:val="20"/>
                <w:szCs w:val="20"/>
              </w:rPr>
              <w:t>5</w:t>
            </w:r>
          </w:p>
        </w:tc>
        <w:tc>
          <w:tcPr>
            <w:tcW w:w="749" w:type="dxa"/>
            <w:tcBorders>
              <w:top w:val="single" w:sz="8" w:space="0" w:color="auto"/>
              <w:left w:val="single" w:sz="8" w:space="0" w:color="auto"/>
              <w:bottom w:val="single" w:sz="12" w:space="0" w:color="auto"/>
              <w:right w:val="single" w:sz="8" w:space="0" w:color="auto"/>
            </w:tcBorders>
            <w:tcMar>
              <w:top w:w="0" w:type="dxa"/>
              <w:left w:w="108" w:type="dxa"/>
              <w:bottom w:w="0" w:type="dxa"/>
              <w:right w:w="108" w:type="dxa"/>
            </w:tcMar>
            <w:vAlign w:val="bottom"/>
          </w:tcPr>
          <w:p w14:paraId="09AE9334" w14:textId="73E3EE91" w:rsidR="00BE3327" w:rsidRDefault="00BE3327" w:rsidP="005E503A">
            <w:pPr>
              <w:spacing w:before="100" w:beforeAutospacing="1" w:after="100" w:afterAutospacing="1" w:line="240" w:lineRule="auto"/>
              <w:jc w:val="center"/>
              <w:rPr>
                <w:color w:val="000000"/>
                <w:sz w:val="20"/>
                <w:szCs w:val="20"/>
              </w:rPr>
            </w:pPr>
          </w:p>
        </w:tc>
        <w:tc>
          <w:tcPr>
            <w:tcW w:w="4291" w:type="dxa"/>
            <w:vMerge/>
            <w:tcBorders>
              <w:left w:val="nil"/>
              <w:bottom w:val="single" w:sz="12" w:space="0" w:color="auto"/>
              <w:right w:val="single" w:sz="12" w:space="0" w:color="auto"/>
            </w:tcBorders>
            <w:tcMar>
              <w:top w:w="0" w:type="dxa"/>
              <w:left w:w="108" w:type="dxa"/>
              <w:bottom w:w="0" w:type="dxa"/>
              <w:right w:w="108" w:type="dxa"/>
            </w:tcMar>
            <w:vAlign w:val="center"/>
          </w:tcPr>
          <w:p w14:paraId="0951E97E" w14:textId="77777777" w:rsidR="00BE3327" w:rsidRDefault="00BE3327" w:rsidP="005E503A">
            <w:pPr>
              <w:spacing w:before="100" w:beforeAutospacing="1" w:after="100" w:afterAutospacing="1" w:line="240" w:lineRule="auto"/>
              <w:rPr>
                <w:color w:val="000000"/>
                <w:sz w:val="20"/>
                <w:szCs w:val="20"/>
              </w:rPr>
            </w:pPr>
          </w:p>
        </w:tc>
      </w:tr>
      <w:tr w:rsidR="00BE3327" w14:paraId="018D7DD0" w14:textId="77777777" w:rsidTr="00BE3327">
        <w:tc>
          <w:tcPr>
            <w:tcW w:w="3855"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bottom"/>
          </w:tcPr>
          <w:p w14:paraId="7D573006" w14:textId="7EDE682A" w:rsidR="00BE3327" w:rsidRDefault="00BE3327" w:rsidP="007D3912">
            <w:pPr>
              <w:keepNext/>
              <w:spacing w:before="100" w:beforeAutospacing="1" w:after="100" w:afterAutospacing="1" w:line="240" w:lineRule="auto"/>
              <w:rPr>
                <w:sz w:val="20"/>
                <w:szCs w:val="20"/>
              </w:rPr>
            </w:pPr>
            <w:r>
              <w:rPr>
                <w:sz w:val="20"/>
                <w:szCs w:val="20"/>
              </w:rPr>
              <w:t>Lime Manufacturing</w:t>
            </w:r>
          </w:p>
        </w:tc>
        <w:tc>
          <w:tcPr>
            <w:tcW w:w="630" w:type="dxa"/>
            <w:tcBorders>
              <w:top w:val="nil"/>
              <w:left w:val="nil"/>
              <w:bottom w:val="single" w:sz="12" w:space="0" w:color="auto"/>
              <w:right w:val="single" w:sz="8" w:space="0" w:color="auto"/>
            </w:tcBorders>
          </w:tcPr>
          <w:p w14:paraId="1260E2B4" w14:textId="5A0B883E" w:rsidR="00BE3327" w:rsidRDefault="00792E71" w:rsidP="00615927">
            <w:pPr>
              <w:spacing w:before="100" w:beforeAutospacing="1" w:after="100" w:afterAutospacing="1" w:line="240" w:lineRule="auto"/>
              <w:jc w:val="center"/>
              <w:rPr>
                <w:color w:val="000000"/>
                <w:sz w:val="20"/>
                <w:szCs w:val="20"/>
              </w:rPr>
            </w:pPr>
            <w:r>
              <w:rPr>
                <w:color w:val="000000"/>
                <w:sz w:val="20"/>
                <w:szCs w:val="20"/>
              </w:rPr>
              <w:t>1</w:t>
            </w:r>
          </w:p>
        </w:tc>
        <w:tc>
          <w:tcPr>
            <w:tcW w:w="749"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bottom"/>
          </w:tcPr>
          <w:p w14:paraId="14DA4899" w14:textId="75A692F6" w:rsidR="00BE3327" w:rsidRDefault="00BE3327" w:rsidP="00615927">
            <w:pPr>
              <w:spacing w:before="100" w:beforeAutospacing="1" w:after="100" w:afterAutospacing="1" w:line="240" w:lineRule="auto"/>
              <w:jc w:val="center"/>
              <w:rPr>
                <w:color w:val="000000"/>
                <w:sz w:val="20"/>
                <w:szCs w:val="20"/>
              </w:rPr>
            </w:pPr>
            <w:r>
              <w:rPr>
                <w:color w:val="000000"/>
                <w:sz w:val="20"/>
                <w:szCs w:val="20"/>
              </w:rPr>
              <w:t>Y</w:t>
            </w:r>
          </w:p>
        </w:tc>
        <w:tc>
          <w:tcPr>
            <w:tcW w:w="4291" w:type="dxa"/>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151FD726" w14:textId="31AD8D66" w:rsidR="00BE3327" w:rsidRDefault="00BE3327" w:rsidP="00615927">
            <w:pPr>
              <w:spacing w:before="100" w:beforeAutospacing="1" w:after="100" w:afterAutospacing="1" w:line="240" w:lineRule="auto"/>
              <w:rPr>
                <w:color w:val="000000"/>
                <w:sz w:val="20"/>
                <w:szCs w:val="20"/>
              </w:rPr>
            </w:pPr>
            <w:r>
              <w:rPr>
                <w:color w:val="000000"/>
                <w:sz w:val="20"/>
                <w:szCs w:val="20"/>
              </w:rPr>
              <w:t>Dropped off list at 50% EC weight</w:t>
            </w:r>
          </w:p>
        </w:tc>
      </w:tr>
      <w:tr w:rsidR="00BE3327" w14:paraId="5B552D69"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1C19E826" w14:textId="65EB3470" w:rsidR="00BE3327" w:rsidRDefault="00BE3327" w:rsidP="007D3912">
            <w:pPr>
              <w:keepNext/>
              <w:spacing w:before="100" w:beforeAutospacing="1" w:after="100" w:afterAutospacing="1" w:line="240" w:lineRule="auto"/>
              <w:rPr>
                <w:sz w:val="20"/>
                <w:szCs w:val="20"/>
              </w:rPr>
            </w:pPr>
            <w:r>
              <w:rPr>
                <w:sz w:val="20"/>
                <w:szCs w:val="20"/>
              </w:rPr>
              <w:t>Oil &amp; Natural Gas Transmissions</w:t>
            </w:r>
          </w:p>
        </w:tc>
        <w:tc>
          <w:tcPr>
            <w:tcW w:w="630" w:type="dxa"/>
            <w:tcBorders>
              <w:top w:val="nil"/>
              <w:left w:val="nil"/>
              <w:bottom w:val="single" w:sz="8" w:space="0" w:color="auto"/>
              <w:right w:val="single" w:sz="8" w:space="0" w:color="auto"/>
            </w:tcBorders>
          </w:tcPr>
          <w:p w14:paraId="6EF4055A" w14:textId="0776A8B0" w:rsidR="00BE3327" w:rsidRDefault="00792E71" w:rsidP="00615927">
            <w:pPr>
              <w:spacing w:before="100" w:beforeAutospacing="1" w:after="100" w:afterAutospacing="1" w:line="240" w:lineRule="auto"/>
              <w:jc w:val="center"/>
              <w:rPr>
                <w:color w:val="000000"/>
                <w:sz w:val="20"/>
                <w:szCs w:val="20"/>
              </w:rPr>
            </w:pPr>
            <w:r>
              <w:rPr>
                <w:color w:val="000000"/>
                <w:sz w:val="20"/>
                <w:szCs w:val="20"/>
              </w:rPr>
              <w:t>4</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8EBBBAB" w14:textId="29E5C645" w:rsidR="00BE3327" w:rsidRDefault="00BE3327" w:rsidP="00615927">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val="restart"/>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768B5BFF" w14:textId="2A959AB2" w:rsidR="00BE3327" w:rsidRDefault="00BE3327" w:rsidP="00615927">
            <w:pPr>
              <w:spacing w:before="100" w:beforeAutospacing="1" w:after="100" w:afterAutospacing="1" w:line="240" w:lineRule="auto"/>
              <w:rPr>
                <w:color w:val="000000"/>
                <w:sz w:val="20"/>
                <w:szCs w:val="20"/>
              </w:rPr>
            </w:pPr>
            <w:r>
              <w:rPr>
                <w:color w:val="000000"/>
                <w:sz w:val="20"/>
                <w:szCs w:val="20"/>
              </w:rPr>
              <w:t>Dropped off list at equal weight CO2, CH4, and EC</w:t>
            </w:r>
          </w:p>
        </w:tc>
      </w:tr>
      <w:tr w:rsidR="00BE3327" w14:paraId="60E5E222" w14:textId="77777777" w:rsidTr="00BE3327">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6DBC0503" w14:textId="332FA3B8" w:rsidR="00BE3327" w:rsidRDefault="00BE3327" w:rsidP="007D3912">
            <w:pPr>
              <w:keepNext/>
              <w:spacing w:before="100" w:beforeAutospacing="1" w:after="100" w:afterAutospacing="1" w:line="240" w:lineRule="auto"/>
              <w:rPr>
                <w:sz w:val="20"/>
                <w:szCs w:val="20"/>
              </w:rPr>
            </w:pPr>
            <w:r>
              <w:rPr>
                <w:sz w:val="20"/>
                <w:szCs w:val="20"/>
              </w:rPr>
              <w:t>Fertilizer Manufacturing</w:t>
            </w:r>
          </w:p>
        </w:tc>
        <w:tc>
          <w:tcPr>
            <w:tcW w:w="630" w:type="dxa"/>
            <w:tcBorders>
              <w:top w:val="nil"/>
              <w:left w:val="nil"/>
              <w:bottom w:val="single" w:sz="8" w:space="0" w:color="auto"/>
              <w:right w:val="single" w:sz="8" w:space="0" w:color="auto"/>
            </w:tcBorders>
          </w:tcPr>
          <w:p w14:paraId="619F0C63" w14:textId="6E322C92" w:rsidR="00BE3327" w:rsidRDefault="00792E71" w:rsidP="00615927">
            <w:pPr>
              <w:spacing w:before="100" w:beforeAutospacing="1" w:after="100" w:afterAutospacing="1" w:line="240" w:lineRule="auto"/>
              <w:jc w:val="center"/>
              <w:rPr>
                <w:color w:val="000000"/>
                <w:sz w:val="20"/>
                <w:szCs w:val="20"/>
              </w:rPr>
            </w:pPr>
            <w:r>
              <w:rPr>
                <w:color w:val="000000"/>
                <w:sz w:val="20"/>
                <w:szCs w:val="20"/>
              </w:rPr>
              <w:t>3</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1192532" w14:textId="227E480E" w:rsidR="00BE3327" w:rsidRDefault="00BE3327" w:rsidP="00615927">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top w:val="nil"/>
              <w:left w:val="nil"/>
              <w:bottom w:val="single" w:sz="12" w:space="0" w:color="auto"/>
              <w:right w:val="single" w:sz="12" w:space="0" w:color="auto"/>
            </w:tcBorders>
            <w:vAlign w:val="center"/>
            <w:hideMark/>
          </w:tcPr>
          <w:p w14:paraId="1CB4D897"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r w:rsidR="00BE3327" w14:paraId="671B2378" w14:textId="77777777" w:rsidTr="00BE3327">
        <w:tc>
          <w:tcPr>
            <w:tcW w:w="3855"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bottom"/>
          </w:tcPr>
          <w:p w14:paraId="6E2124EA" w14:textId="7127177C" w:rsidR="00BE3327" w:rsidRDefault="00BE3327" w:rsidP="00615927">
            <w:pPr>
              <w:spacing w:before="100" w:beforeAutospacing="1" w:after="100" w:afterAutospacing="1" w:line="240" w:lineRule="auto"/>
              <w:rPr>
                <w:sz w:val="20"/>
                <w:szCs w:val="20"/>
              </w:rPr>
            </w:pPr>
            <w:r>
              <w:rPr>
                <w:sz w:val="20"/>
                <w:szCs w:val="20"/>
              </w:rPr>
              <w:t>Other Waste</w:t>
            </w:r>
          </w:p>
        </w:tc>
        <w:tc>
          <w:tcPr>
            <w:tcW w:w="630" w:type="dxa"/>
            <w:tcBorders>
              <w:top w:val="nil"/>
              <w:left w:val="nil"/>
              <w:bottom w:val="single" w:sz="12" w:space="0" w:color="auto"/>
              <w:right w:val="single" w:sz="8" w:space="0" w:color="auto"/>
            </w:tcBorders>
          </w:tcPr>
          <w:p w14:paraId="19186B2B" w14:textId="15E4C591" w:rsidR="00BE3327" w:rsidRDefault="00792E71" w:rsidP="00615927">
            <w:pPr>
              <w:spacing w:before="100" w:beforeAutospacing="1" w:after="100" w:afterAutospacing="1" w:line="240" w:lineRule="auto"/>
              <w:jc w:val="center"/>
              <w:rPr>
                <w:color w:val="000000"/>
                <w:sz w:val="20"/>
                <w:szCs w:val="20"/>
              </w:rPr>
            </w:pPr>
            <w:r>
              <w:rPr>
                <w:color w:val="000000"/>
                <w:sz w:val="20"/>
                <w:szCs w:val="20"/>
              </w:rPr>
              <w:t>3</w:t>
            </w:r>
          </w:p>
        </w:tc>
        <w:tc>
          <w:tcPr>
            <w:tcW w:w="749"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bottom"/>
            <w:hideMark/>
          </w:tcPr>
          <w:p w14:paraId="08921ACC" w14:textId="2DAB20DC" w:rsidR="00BE3327" w:rsidRDefault="00BE3327" w:rsidP="00615927">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top w:val="nil"/>
              <w:left w:val="nil"/>
              <w:bottom w:val="single" w:sz="12" w:space="0" w:color="auto"/>
              <w:right w:val="single" w:sz="12" w:space="0" w:color="auto"/>
            </w:tcBorders>
            <w:vAlign w:val="center"/>
            <w:hideMark/>
          </w:tcPr>
          <w:p w14:paraId="681ACC43" w14:textId="77777777" w:rsidR="00BE3327" w:rsidRDefault="00BE3327" w:rsidP="00615927">
            <w:pPr>
              <w:spacing w:before="100" w:beforeAutospacing="1" w:after="100" w:afterAutospacing="1" w:line="240" w:lineRule="auto"/>
              <w:rPr>
                <w:rFonts w:ascii="Calibri" w:hAnsi="Calibri" w:cs="Calibri"/>
                <w:color w:val="000000"/>
                <w:sz w:val="20"/>
                <w:szCs w:val="20"/>
              </w:rPr>
            </w:pPr>
          </w:p>
        </w:tc>
      </w:tr>
    </w:tbl>
    <w:p w14:paraId="08F0E31E" w14:textId="77777777" w:rsidR="00615927" w:rsidRPr="00512920" w:rsidRDefault="00615927">
      <w:pPr>
        <w:rPr>
          <w:b/>
          <w:bCs/>
        </w:rPr>
      </w:pPr>
    </w:p>
    <w:p w14:paraId="385F1B40" w14:textId="1E299563" w:rsidR="0061672C" w:rsidRDefault="0061672C" w:rsidP="0061672C">
      <w:pPr>
        <w:pStyle w:val="Heading2"/>
      </w:pPr>
      <w:bookmarkStart w:id="2" w:name="_Ref64901873"/>
      <w:r>
        <w:t>Modify sector list using per-capita NOx, PM2.5, SO2</w:t>
      </w:r>
      <w:r w:rsidR="008B1445">
        <w:t>, and HAP</w:t>
      </w:r>
      <w:r>
        <w:t xml:space="preserve"> indicators</w:t>
      </w:r>
      <w:bookmarkEnd w:id="2"/>
    </w:p>
    <w:p w14:paraId="28796AD5" w14:textId="67AA24CB" w:rsidR="00B67B11" w:rsidRDefault="000E162E">
      <w:r>
        <w:t xml:space="preserve">This second </w:t>
      </w:r>
      <w:r w:rsidR="007D3912">
        <w:t>example</w:t>
      </w:r>
      <w:r>
        <w:t xml:space="preserve"> i</w:t>
      </w:r>
      <w:r w:rsidR="0061672C">
        <w:t>l</w:t>
      </w:r>
      <w:r w:rsidR="00B67B11">
        <w:t>lustrate</w:t>
      </w:r>
      <w:r>
        <w:t>s the</w:t>
      </w:r>
      <w:r w:rsidR="007F05F6">
        <w:t xml:space="preserve"> impacts</w:t>
      </w:r>
      <w:r w:rsidR="00B67B11">
        <w:t xml:space="preserve"> of including </w:t>
      </w:r>
      <w:r w:rsidR="0061672C">
        <w:t>per capita</w:t>
      </w:r>
      <w:r w:rsidR="006738EE">
        <w:t xml:space="preserve"> indicators for NOx, PM2.5 and SO2 </w:t>
      </w:r>
      <w:r w:rsidR="00B67B11">
        <w:t xml:space="preserve">and </w:t>
      </w:r>
      <w:r w:rsidR="006738EE">
        <w:t xml:space="preserve">the two </w:t>
      </w:r>
      <w:r w:rsidR="00B67B11">
        <w:t>HAP</w:t>
      </w:r>
      <w:r w:rsidR="0061672C">
        <w:t xml:space="preserve"> per-capita</w:t>
      </w:r>
      <w:r w:rsidR="006738EE">
        <w:t xml:space="preserve"> indicators</w:t>
      </w:r>
      <w:r w:rsidR="00B67B11">
        <w:t xml:space="preserve"> to the GHG indicators.</w:t>
      </w:r>
      <w:r w:rsidR="007F05F6">
        <w:t xml:space="preserve">  In all three scenarios, the GHGs are weighted equally across the three </w:t>
      </w:r>
      <w:r w:rsidR="0057122E">
        <w:t xml:space="preserve">GHG </w:t>
      </w:r>
      <w:r w:rsidR="007F05F6">
        <w:t>pollutants.</w:t>
      </w:r>
      <w:r>
        <w:t xml:space="preserve">  All per-capita indicators are created by selecting all emissions in a county associated with a particular emissions inventory sector.</w:t>
      </w:r>
    </w:p>
    <w:p w14:paraId="063270D5" w14:textId="51242D49" w:rsidR="006738EE" w:rsidRPr="000E162E" w:rsidRDefault="000E162E">
      <w:r w:rsidRPr="000E162E">
        <w:t>For this</w:t>
      </w:r>
      <w:r>
        <w:t xml:space="preserve"> example, we used indicator weightings of 0.75 for NOx/person, 1.5 for PM2.5/person, 0.75 for SO2/person</w:t>
      </w:r>
      <w:r w:rsidR="008B1445">
        <w:t>, 1.5 for 20 Worst HAPs/person, and 1.5 for Hg &amp; Worse HAPs/person.</w:t>
      </w:r>
      <w:r>
        <w:t xml:space="preserve">  The total </w:t>
      </w:r>
      <w:r w:rsidR="008B1445">
        <w:t>criteria pollutant</w:t>
      </w:r>
      <w:r>
        <w:t xml:space="preserve"> </w:t>
      </w:r>
      <w:r w:rsidR="008B1445">
        <w:t xml:space="preserve">and total HAP </w:t>
      </w:r>
      <w:r>
        <w:t>weight</w:t>
      </w:r>
      <w:r w:rsidR="008B1445">
        <w:t>s</w:t>
      </w:r>
      <w:r>
        <w:t xml:space="preserve"> of 3</w:t>
      </w:r>
      <w:r w:rsidR="008B1445">
        <w:t xml:space="preserve"> are</w:t>
      </w:r>
      <w:r>
        <w:t xml:space="preserve"> equivalent to the GHG weight of 3</w:t>
      </w:r>
      <w:r w:rsidR="008B1445">
        <w:t>, so that all three groups of pollutants are weighted equally in this example.</w:t>
      </w:r>
    </w:p>
    <w:p w14:paraId="4E4885F3" w14:textId="775F0319" w:rsidR="00AF5167" w:rsidRDefault="00EA2F1D">
      <w:bookmarkStart w:id="3" w:name="_Hlk64552323"/>
      <w:r>
        <w:rPr>
          <w:b/>
          <w:bCs/>
        </w:rPr>
        <w:t xml:space="preserve">Findings: </w:t>
      </w:r>
      <w:r w:rsidR="000E162E">
        <w:rPr>
          <w:b/>
          <w:bCs/>
        </w:rPr>
        <w:t xml:space="preserve"> </w:t>
      </w:r>
      <w:r w:rsidR="000E162E">
        <w:t>The inclusion of the CAP</w:t>
      </w:r>
      <w:r w:rsidR="008B1445">
        <w:t xml:space="preserve"> and HAP</w:t>
      </w:r>
      <w:r w:rsidR="000E162E">
        <w:t xml:space="preserve"> indicators significantly impacts the list of top 15 sectors. </w:t>
      </w:r>
      <w:r w:rsidR="00792E71">
        <w:t xml:space="preserve"> </w:t>
      </w:r>
      <w:r w:rsidR="00792E71" w:rsidRPr="00150105">
        <w:t>Taconite Mining becomes</w:t>
      </w:r>
      <w:r w:rsidR="00792E71">
        <w:t xml:space="preserve"> the </w:t>
      </w:r>
      <w:r w:rsidR="00150105">
        <w:t>highest-ranking</w:t>
      </w:r>
      <w:r w:rsidR="00792E71">
        <w:t xml:space="preserve"> category because of its high emissions associated with a small population.  While not shown here, the relative weightings of NOx, PM2.5, SO2</w:t>
      </w:r>
      <w:r w:rsidR="00150105">
        <w:t xml:space="preserve">, and the HAP indicators </w:t>
      </w:r>
      <w:r w:rsidR="00792E71">
        <w:t>also have an impact on the sectors included in the top 15.</w:t>
      </w:r>
    </w:p>
    <w:p w14:paraId="2ED3F6E8" w14:textId="0221287D" w:rsidR="00792E71" w:rsidRDefault="006A4A08" w:rsidP="00792E71">
      <w:r>
        <w:rPr>
          <w:b/>
          <w:bCs/>
        </w:rPr>
        <w:t>Follow-up</w:t>
      </w:r>
      <w:r w:rsidR="009D4255">
        <w:rPr>
          <w:b/>
          <w:bCs/>
        </w:rPr>
        <w:t>/discussion</w:t>
      </w:r>
      <w:r w:rsidR="00792E71">
        <w:rPr>
          <w:b/>
          <w:bCs/>
        </w:rPr>
        <w:t xml:space="preserve">: </w:t>
      </w:r>
      <w:r w:rsidR="00792E71" w:rsidRPr="00792E71">
        <w:t>Discus</w:t>
      </w:r>
      <w:r w:rsidR="00792E71">
        <w:t>s and determine the relative weights to give to criteria pollutants, both across those pollutants as well as relative to GHGs.  Determine if other CAP indicators are warranted</w:t>
      </w:r>
      <w:r w:rsidR="006007C0">
        <w:t xml:space="preserve"> (in particular, VOC and NH3)</w:t>
      </w:r>
      <w:r w:rsidR="00792E71">
        <w:t>.</w:t>
      </w:r>
      <w:r w:rsidR="007D3912">
        <w:t xml:space="preserve">  Evaluate and improve HAP indicators.</w:t>
      </w:r>
    </w:p>
    <w:p w14:paraId="6CBE1B53" w14:textId="3AE9CF97" w:rsidR="00792E71" w:rsidRDefault="007D3912" w:rsidP="007D3912">
      <w:pPr>
        <w:pStyle w:val="Caption"/>
        <w:keepNext/>
      </w:pPr>
      <w:r w:rsidRPr="007D3912">
        <w:rPr>
          <w:b/>
          <w:bCs/>
        </w:rPr>
        <w:t xml:space="preserve">Table </w:t>
      </w:r>
      <w:r w:rsidRPr="007D3912">
        <w:rPr>
          <w:b/>
          <w:bCs/>
        </w:rPr>
        <w:fldChar w:fldCharType="begin"/>
      </w:r>
      <w:r w:rsidRPr="007D3912">
        <w:rPr>
          <w:b/>
          <w:bCs/>
        </w:rPr>
        <w:instrText xml:space="preserve"> SEQ Table \* ARABIC </w:instrText>
      </w:r>
      <w:r w:rsidRPr="007D3912">
        <w:rPr>
          <w:b/>
          <w:bCs/>
        </w:rPr>
        <w:fldChar w:fldCharType="separate"/>
      </w:r>
      <w:r w:rsidR="00550184">
        <w:rPr>
          <w:b/>
          <w:bCs/>
          <w:noProof/>
        </w:rPr>
        <w:t>2</w:t>
      </w:r>
      <w:r w:rsidRPr="007D3912">
        <w:rPr>
          <w:b/>
          <w:bCs/>
        </w:rPr>
        <w:fldChar w:fldCharType="end"/>
      </w:r>
      <w:r w:rsidR="00836496" w:rsidRPr="007D3912">
        <w:rPr>
          <w:b/>
          <w:bCs/>
        </w:rPr>
        <w:t>:</w:t>
      </w:r>
      <w:r w:rsidR="00836496">
        <w:t xml:space="preserve"> </w:t>
      </w:r>
      <w:r w:rsidR="00792E71">
        <w:t>Top 15 sectors identified and listed by rank under a GHG/CAP</w:t>
      </w:r>
      <w:r w:rsidR="00150105">
        <w:t>/HAP</w:t>
      </w:r>
      <w:r w:rsidR="00792E71">
        <w:t xml:space="preserve"> scenario, as compared to a GHG-only scenario.  Scores shown are </w:t>
      </w:r>
      <w:r w:rsidR="00150105">
        <w:t>the new</w:t>
      </w:r>
      <w:r w:rsidR="00792E71">
        <w:t xml:space="preserve"> scenario that includes </w:t>
      </w:r>
      <w:r w:rsidR="00150105">
        <w:t>GHGs, CAPs, and HAPs.</w:t>
      </w:r>
    </w:p>
    <w:tbl>
      <w:tblPr>
        <w:tblW w:w="9525" w:type="dxa"/>
        <w:tblLayout w:type="fixed"/>
        <w:tblCellMar>
          <w:left w:w="0" w:type="dxa"/>
          <w:right w:w="0" w:type="dxa"/>
        </w:tblCellMar>
        <w:tblLook w:val="04A0" w:firstRow="1" w:lastRow="0" w:firstColumn="1" w:lastColumn="0" w:noHBand="0" w:noVBand="1"/>
      </w:tblPr>
      <w:tblGrid>
        <w:gridCol w:w="3855"/>
        <w:gridCol w:w="630"/>
        <w:gridCol w:w="749"/>
        <w:gridCol w:w="4291"/>
      </w:tblGrid>
      <w:tr w:rsidR="00320ADF" w14:paraId="4246039A" w14:textId="77777777" w:rsidTr="006A4A08">
        <w:trPr>
          <w:tblHeader/>
        </w:trPr>
        <w:tc>
          <w:tcPr>
            <w:tcW w:w="3855"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vAlign w:val="bottom"/>
            <w:hideMark/>
          </w:tcPr>
          <w:p w14:paraId="3DA46AEA" w14:textId="77777777" w:rsidR="00320ADF" w:rsidRDefault="00320ADF" w:rsidP="00320ADF">
            <w:pPr>
              <w:keepNext/>
              <w:spacing w:before="100" w:beforeAutospacing="1" w:after="100" w:afterAutospacing="1"/>
              <w:rPr>
                <w:b/>
                <w:bCs/>
                <w:color w:val="000000"/>
                <w:sz w:val="20"/>
                <w:szCs w:val="20"/>
              </w:rPr>
            </w:pPr>
            <w:r>
              <w:rPr>
                <w:b/>
                <w:bCs/>
                <w:color w:val="000000"/>
                <w:sz w:val="20"/>
                <w:szCs w:val="20"/>
              </w:rPr>
              <w:t>Sector</w:t>
            </w:r>
          </w:p>
        </w:tc>
        <w:tc>
          <w:tcPr>
            <w:tcW w:w="630" w:type="dxa"/>
            <w:tcBorders>
              <w:top w:val="single" w:sz="12" w:space="0" w:color="auto"/>
              <w:left w:val="nil"/>
              <w:bottom w:val="single" w:sz="12" w:space="0" w:color="auto"/>
              <w:right w:val="single" w:sz="8" w:space="0" w:color="auto"/>
            </w:tcBorders>
          </w:tcPr>
          <w:p w14:paraId="67A6729D" w14:textId="77777777" w:rsidR="00320ADF" w:rsidRDefault="00320ADF" w:rsidP="00320ADF">
            <w:pPr>
              <w:keepNext/>
              <w:spacing w:before="100" w:beforeAutospacing="1" w:after="100" w:afterAutospacing="1"/>
              <w:jc w:val="center"/>
              <w:rPr>
                <w:b/>
                <w:bCs/>
                <w:color w:val="000000"/>
                <w:sz w:val="20"/>
                <w:szCs w:val="20"/>
              </w:rPr>
            </w:pPr>
            <w:r>
              <w:rPr>
                <w:b/>
                <w:bCs/>
                <w:color w:val="000000"/>
                <w:sz w:val="20"/>
                <w:szCs w:val="20"/>
              </w:rPr>
              <w:t>Score</w:t>
            </w:r>
          </w:p>
        </w:tc>
        <w:tc>
          <w:tcPr>
            <w:tcW w:w="749" w:type="dxa"/>
            <w:tcBorders>
              <w:top w:val="single" w:sz="12" w:space="0" w:color="auto"/>
              <w:left w:val="single" w:sz="8" w:space="0" w:color="auto"/>
              <w:bottom w:val="single" w:sz="12" w:space="0" w:color="auto"/>
              <w:right w:val="single" w:sz="8" w:space="0" w:color="auto"/>
            </w:tcBorders>
            <w:tcMar>
              <w:top w:w="0" w:type="dxa"/>
              <w:left w:w="108" w:type="dxa"/>
              <w:bottom w:w="0" w:type="dxa"/>
              <w:right w:w="108" w:type="dxa"/>
            </w:tcMar>
            <w:hideMark/>
          </w:tcPr>
          <w:p w14:paraId="7787E88B" w14:textId="77777777" w:rsidR="00320ADF" w:rsidRDefault="00320ADF" w:rsidP="00320ADF">
            <w:pPr>
              <w:keepNext/>
              <w:spacing w:before="100" w:beforeAutospacing="1" w:after="100" w:afterAutospacing="1"/>
              <w:rPr>
                <w:b/>
                <w:bCs/>
                <w:color w:val="000000"/>
                <w:sz w:val="20"/>
                <w:szCs w:val="20"/>
              </w:rPr>
            </w:pPr>
            <w:r>
              <w:rPr>
                <w:b/>
                <w:bCs/>
                <w:color w:val="000000"/>
                <w:sz w:val="20"/>
                <w:szCs w:val="20"/>
              </w:rPr>
              <w:t>Point?</w:t>
            </w:r>
          </w:p>
        </w:tc>
        <w:tc>
          <w:tcPr>
            <w:tcW w:w="4291" w:type="dxa"/>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14:paraId="33F111D6" w14:textId="77777777" w:rsidR="00320ADF" w:rsidRDefault="00320ADF" w:rsidP="00320ADF">
            <w:pPr>
              <w:keepNext/>
              <w:spacing w:before="100" w:beforeAutospacing="1" w:after="100" w:afterAutospacing="1"/>
              <w:rPr>
                <w:b/>
                <w:bCs/>
                <w:color w:val="000000"/>
                <w:sz w:val="20"/>
                <w:szCs w:val="20"/>
              </w:rPr>
            </w:pPr>
            <w:r>
              <w:rPr>
                <w:b/>
                <w:bCs/>
                <w:color w:val="000000"/>
                <w:sz w:val="20"/>
                <w:szCs w:val="20"/>
              </w:rPr>
              <w:t>Status in Top 15</w:t>
            </w:r>
          </w:p>
        </w:tc>
      </w:tr>
      <w:tr w:rsidR="00165B48" w14:paraId="0CBAF525" w14:textId="77777777" w:rsidTr="006A4A08">
        <w:tc>
          <w:tcPr>
            <w:tcW w:w="385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13050204" w14:textId="7B9707A9" w:rsidR="00165B48" w:rsidRPr="00150105" w:rsidRDefault="00165B48" w:rsidP="00150105">
            <w:pPr>
              <w:keepNext/>
              <w:spacing w:before="100" w:beforeAutospacing="1" w:after="100" w:afterAutospacing="1" w:line="240" w:lineRule="auto"/>
              <w:rPr>
                <w:sz w:val="20"/>
                <w:szCs w:val="20"/>
              </w:rPr>
            </w:pPr>
            <w:r w:rsidRPr="00150105">
              <w:rPr>
                <w:rFonts w:ascii="Calibri" w:hAnsi="Calibri" w:cs="Calibri"/>
                <w:color w:val="000000"/>
                <w:sz w:val="20"/>
                <w:szCs w:val="20"/>
              </w:rPr>
              <w:t>EGUs</w:t>
            </w:r>
          </w:p>
        </w:tc>
        <w:tc>
          <w:tcPr>
            <w:tcW w:w="630" w:type="dxa"/>
            <w:tcBorders>
              <w:top w:val="single" w:sz="12" w:space="0" w:color="auto"/>
              <w:left w:val="nil"/>
              <w:bottom w:val="single" w:sz="8" w:space="0" w:color="auto"/>
              <w:right w:val="single" w:sz="8" w:space="0" w:color="auto"/>
            </w:tcBorders>
          </w:tcPr>
          <w:p w14:paraId="422B097A" w14:textId="22407F05"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47</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081765BD" w14:textId="7F6BAD1A"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val="restart"/>
            <w:tcBorders>
              <w:top w:val="single" w:sz="12" w:space="0" w:color="auto"/>
              <w:left w:val="nil"/>
              <w:right w:val="single" w:sz="12" w:space="0" w:color="auto"/>
            </w:tcBorders>
            <w:tcMar>
              <w:top w:w="0" w:type="dxa"/>
              <w:left w:w="108" w:type="dxa"/>
              <w:bottom w:w="0" w:type="dxa"/>
              <w:right w:w="108" w:type="dxa"/>
            </w:tcMar>
            <w:vAlign w:val="center"/>
            <w:hideMark/>
          </w:tcPr>
          <w:p w14:paraId="04A6C407" w14:textId="62D063EF" w:rsidR="00165B48" w:rsidRDefault="00165B48" w:rsidP="00150105">
            <w:pPr>
              <w:keepNext/>
              <w:spacing w:before="100" w:beforeAutospacing="1" w:after="100" w:afterAutospacing="1" w:line="240" w:lineRule="auto"/>
              <w:rPr>
                <w:color w:val="000000"/>
                <w:sz w:val="20"/>
                <w:szCs w:val="20"/>
              </w:rPr>
            </w:pPr>
            <w:r>
              <w:rPr>
                <w:color w:val="000000"/>
                <w:sz w:val="20"/>
                <w:szCs w:val="20"/>
              </w:rPr>
              <w:t>Always on list (before and after CAP and HAP additions)</w:t>
            </w:r>
          </w:p>
        </w:tc>
      </w:tr>
      <w:tr w:rsidR="00165B48" w14:paraId="500A551A" w14:textId="77777777" w:rsidTr="004B11BC">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7B5B538C" w14:textId="6783CEF8" w:rsidR="00165B48" w:rsidRPr="00150105" w:rsidRDefault="00165B48" w:rsidP="00150105">
            <w:pPr>
              <w:keepNext/>
              <w:spacing w:before="100" w:beforeAutospacing="1" w:after="100" w:afterAutospacing="1" w:line="240" w:lineRule="auto"/>
              <w:rPr>
                <w:sz w:val="20"/>
                <w:szCs w:val="20"/>
              </w:rPr>
            </w:pPr>
            <w:r w:rsidRPr="00150105">
              <w:rPr>
                <w:rFonts w:ascii="Calibri" w:hAnsi="Calibri" w:cs="Calibri"/>
                <w:color w:val="000000"/>
                <w:sz w:val="20"/>
                <w:szCs w:val="20"/>
              </w:rPr>
              <w:t>Fuel Comb - Residential - Wood</w:t>
            </w:r>
          </w:p>
        </w:tc>
        <w:tc>
          <w:tcPr>
            <w:tcW w:w="630" w:type="dxa"/>
            <w:tcBorders>
              <w:top w:val="nil"/>
              <w:left w:val="nil"/>
              <w:bottom w:val="single" w:sz="8" w:space="0" w:color="auto"/>
              <w:right w:val="single" w:sz="8" w:space="0" w:color="auto"/>
            </w:tcBorders>
          </w:tcPr>
          <w:p w14:paraId="79A10A28" w14:textId="259FE402"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45</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20F9ABE" w14:textId="494C17DD" w:rsidR="00165B48" w:rsidRDefault="00165B48" w:rsidP="00150105">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vAlign w:val="center"/>
            <w:hideMark/>
          </w:tcPr>
          <w:p w14:paraId="1BB02864" w14:textId="77777777" w:rsidR="00165B48" w:rsidRDefault="00165B48" w:rsidP="00150105">
            <w:pPr>
              <w:keepNext/>
              <w:spacing w:before="100" w:beforeAutospacing="1" w:after="100" w:afterAutospacing="1" w:line="240" w:lineRule="auto"/>
              <w:rPr>
                <w:rFonts w:ascii="Calibri" w:hAnsi="Calibri" w:cs="Calibri"/>
                <w:color w:val="000000"/>
                <w:sz w:val="20"/>
                <w:szCs w:val="20"/>
              </w:rPr>
            </w:pPr>
          </w:p>
        </w:tc>
      </w:tr>
      <w:tr w:rsidR="00165B48" w14:paraId="48011722" w14:textId="77777777" w:rsidTr="004B11BC">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376F98F1" w14:textId="34C1850F" w:rsidR="00165B48" w:rsidRPr="00150105" w:rsidRDefault="00165B48" w:rsidP="00150105">
            <w:pPr>
              <w:keepNext/>
              <w:spacing w:before="100" w:beforeAutospacing="1" w:after="100" w:afterAutospacing="1" w:line="240" w:lineRule="auto"/>
              <w:rPr>
                <w:sz w:val="20"/>
                <w:szCs w:val="20"/>
              </w:rPr>
            </w:pPr>
            <w:r w:rsidRPr="00150105">
              <w:rPr>
                <w:rFonts w:ascii="Calibri" w:hAnsi="Calibri" w:cs="Calibri"/>
                <w:color w:val="000000"/>
                <w:sz w:val="20"/>
                <w:szCs w:val="20"/>
              </w:rPr>
              <w:t>Oil &amp; natural gas</w:t>
            </w:r>
          </w:p>
        </w:tc>
        <w:tc>
          <w:tcPr>
            <w:tcW w:w="630" w:type="dxa"/>
            <w:tcBorders>
              <w:top w:val="nil"/>
              <w:left w:val="nil"/>
              <w:bottom w:val="single" w:sz="8" w:space="0" w:color="auto"/>
              <w:right w:val="single" w:sz="8" w:space="0" w:color="auto"/>
            </w:tcBorders>
          </w:tcPr>
          <w:p w14:paraId="4F4B2EDD" w14:textId="0ECE1F04"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38</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251C1E9" w14:textId="60DCB8A7"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6588B127" w14:textId="77777777" w:rsidR="00165B48" w:rsidRDefault="00165B48" w:rsidP="00150105">
            <w:pPr>
              <w:keepNext/>
              <w:spacing w:before="100" w:beforeAutospacing="1" w:after="100" w:afterAutospacing="1" w:line="240" w:lineRule="auto"/>
              <w:rPr>
                <w:rFonts w:ascii="Calibri" w:hAnsi="Calibri" w:cs="Calibri"/>
                <w:color w:val="000000"/>
                <w:sz w:val="20"/>
                <w:szCs w:val="20"/>
              </w:rPr>
            </w:pPr>
          </w:p>
        </w:tc>
      </w:tr>
      <w:tr w:rsidR="00165B48" w14:paraId="58BCEF5F"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6A93511E" w14:textId="260DE886" w:rsidR="00165B48" w:rsidRPr="00150105" w:rsidRDefault="00165B48" w:rsidP="00150105">
            <w:pPr>
              <w:keepNext/>
              <w:spacing w:before="100" w:beforeAutospacing="1" w:after="100" w:afterAutospacing="1" w:line="240" w:lineRule="auto"/>
              <w:rPr>
                <w:sz w:val="20"/>
                <w:szCs w:val="20"/>
              </w:rPr>
            </w:pPr>
            <w:r w:rsidRPr="00150105">
              <w:rPr>
                <w:rFonts w:ascii="Calibri" w:hAnsi="Calibri" w:cs="Calibri"/>
                <w:color w:val="000000"/>
                <w:sz w:val="20"/>
                <w:szCs w:val="20"/>
              </w:rPr>
              <w:t>Refineries</w:t>
            </w:r>
          </w:p>
        </w:tc>
        <w:tc>
          <w:tcPr>
            <w:tcW w:w="630" w:type="dxa"/>
            <w:tcBorders>
              <w:top w:val="nil"/>
              <w:left w:val="nil"/>
              <w:bottom w:val="single" w:sz="8" w:space="0" w:color="auto"/>
              <w:right w:val="single" w:sz="8" w:space="0" w:color="auto"/>
            </w:tcBorders>
          </w:tcPr>
          <w:p w14:paraId="309BE2F6" w14:textId="78FCB874"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34</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75EC2E5" w14:textId="0EA4C267"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3967A8A1" w14:textId="77777777" w:rsidR="00165B48" w:rsidRDefault="00165B48" w:rsidP="00150105">
            <w:pPr>
              <w:keepNext/>
              <w:spacing w:before="100" w:beforeAutospacing="1" w:after="100" w:afterAutospacing="1" w:line="240" w:lineRule="auto"/>
              <w:rPr>
                <w:rFonts w:ascii="Calibri" w:hAnsi="Calibri" w:cs="Calibri"/>
                <w:color w:val="000000"/>
                <w:sz w:val="20"/>
                <w:szCs w:val="20"/>
              </w:rPr>
            </w:pPr>
          </w:p>
        </w:tc>
      </w:tr>
      <w:tr w:rsidR="00165B48" w14:paraId="2E178D50" w14:textId="77777777" w:rsidTr="00320ADF">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6337E2E8" w14:textId="10EFDF6E" w:rsidR="00165B48" w:rsidRPr="00150105" w:rsidRDefault="00165B48" w:rsidP="00150105">
            <w:pPr>
              <w:keepNext/>
              <w:spacing w:before="100" w:beforeAutospacing="1" w:after="100" w:afterAutospacing="1" w:line="240" w:lineRule="auto"/>
              <w:rPr>
                <w:sz w:val="20"/>
                <w:szCs w:val="20"/>
              </w:rPr>
            </w:pPr>
            <w:r w:rsidRPr="00150105">
              <w:rPr>
                <w:rFonts w:ascii="Calibri" w:hAnsi="Calibri" w:cs="Calibri"/>
                <w:color w:val="000000"/>
                <w:sz w:val="20"/>
                <w:szCs w:val="20"/>
              </w:rPr>
              <w:t>Petrochemical Manufacturing</w:t>
            </w:r>
          </w:p>
        </w:tc>
        <w:tc>
          <w:tcPr>
            <w:tcW w:w="630" w:type="dxa"/>
            <w:tcBorders>
              <w:top w:val="nil"/>
              <w:left w:val="nil"/>
              <w:bottom w:val="single" w:sz="8" w:space="0" w:color="auto"/>
              <w:right w:val="single" w:sz="8" w:space="0" w:color="auto"/>
            </w:tcBorders>
          </w:tcPr>
          <w:p w14:paraId="7208BE7D" w14:textId="50A0E2FA"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32</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480A3F1" w14:textId="61C293D3"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661E28FE" w14:textId="77777777" w:rsidR="00165B48" w:rsidRDefault="00165B48" w:rsidP="00150105">
            <w:pPr>
              <w:keepNext/>
              <w:spacing w:before="100" w:beforeAutospacing="1" w:after="100" w:afterAutospacing="1" w:line="240" w:lineRule="auto"/>
              <w:rPr>
                <w:rFonts w:ascii="Calibri" w:hAnsi="Calibri" w:cs="Calibri"/>
                <w:color w:val="000000"/>
                <w:sz w:val="20"/>
                <w:szCs w:val="20"/>
              </w:rPr>
            </w:pPr>
          </w:p>
        </w:tc>
      </w:tr>
      <w:tr w:rsidR="00165B48" w14:paraId="5694C4E4" w14:textId="77777777" w:rsidTr="00320ADF">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58950543" w14:textId="10A4AD9A" w:rsidR="00165B48" w:rsidRPr="00150105" w:rsidRDefault="00165B48" w:rsidP="00150105">
            <w:pPr>
              <w:keepNext/>
              <w:spacing w:before="100" w:beforeAutospacing="1" w:after="100" w:afterAutospacing="1" w:line="240" w:lineRule="auto"/>
              <w:rPr>
                <w:sz w:val="20"/>
                <w:szCs w:val="20"/>
              </w:rPr>
            </w:pPr>
            <w:r w:rsidRPr="00150105">
              <w:rPr>
                <w:rFonts w:ascii="Calibri" w:hAnsi="Calibri" w:cs="Calibri"/>
                <w:color w:val="000000"/>
                <w:sz w:val="20"/>
                <w:szCs w:val="20"/>
              </w:rPr>
              <w:t>Agriculture - Crops &amp; Livestock Dust</w:t>
            </w:r>
          </w:p>
        </w:tc>
        <w:tc>
          <w:tcPr>
            <w:tcW w:w="630" w:type="dxa"/>
            <w:tcBorders>
              <w:top w:val="nil"/>
              <w:left w:val="nil"/>
              <w:bottom w:val="single" w:sz="8" w:space="0" w:color="auto"/>
              <w:right w:val="single" w:sz="8" w:space="0" w:color="auto"/>
            </w:tcBorders>
          </w:tcPr>
          <w:p w14:paraId="67F7B4F4" w14:textId="26959149"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23</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4E5D7C6" w14:textId="13512E4F" w:rsidR="00165B48" w:rsidRDefault="00165B48" w:rsidP="00150105">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vAlign w:val="center"/>
            <w:hideMark/>
          </w:tcPr>
          <w:p w14:paraId="20938652" w14:textId="77777777" w:rsidR="00165B48" w:rsidRDefault="00165B48" w:rsidP="00150105">
            <w:pPr>
              <w:keepNext/>
              <w:spacing w:before="100" w:beforeAutospacing="1" w:after="100" w:afterAutospacing="1" w:line="240" w:lineRule="auto"/>
              <w:rPr>
                <w:rFonts w:ascii="Calibri" w:hAnsi="Calibri" w:cs="Calibri"/>
                <w:color w:val="000000"/>
                <w:sz w:val="20"/>
                <w:szCs w:val="20"/>
              </w:rPr>
            </w:pPr>
          </w:p>
        </w:tc>
      </w:tr>
      <w:tr w:rsidR="00165B48" w14:paraId="1799E094" w14:textId="77777777" w:rsidTr="00320ADF">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24523526" w14:textId="7F23DB79" w:rsidR="00165B48" w:rsidRPr="00150105" w:rsidRDefault="00165B48" w:rsidP="00150105">
            <w:pPr>
              <w:keepNext/>
              <w:spacing w:before="100" w:beforeAutospacing="1" w:after="100" w:afterAutospacing="1" w:line="240" w:lineRule="auto"/>
              <w:rPr>
                <w:sz w:val="20"/>
                <w:szCs w:val="20"/>
              </w:rPr>
            </w:pPr>
            <w:r w:rsidRPr="00150105">
              <w:rPr>
                <w:rFonts w:ascii="Calibri" w:hAnsi="Calibri" w:cs="Calibri"/>
                <w:color w:val="000000"/>
                <w:sz w:val="20"/>
                <w:szCs w:val="20"/>
              </w:rPr>
              <w:t>Other Point</w:t>
            </w:r>
          </w:p>
        </w:tc>
        <w:tc>
          <w:tcPr>
            <w:tcW w:w="630" w:type="dxa"/>
            <w:tcBorders>
              <w:top w:val="nil"/>
              <w:left w:val="nil"/>
              <w:bottom w:val="single" w:sz="8" w:space="0" w:color="auto"/>
              <w:right w:val="single" w:sz="8" w:space="0" w:color="auto"/>
            </w:tcBorders>
          </w:tcPr>
          <w:p w14:paraId="00CDAFE0" w14:textId="5E3198E1" w:rsidR="00165B48" w:rsidRDefault="00165B48" w:rsidP="00150105">
            <w:pPr>
              <w:keepNext/>
              <w:spacing w:before="100" w:beforeAutospacing="1" w:after="100" w:afterAutospacing="1" w:line="240" w:lineRule="auto"/>
              <w:jc w:val="center"/>
              <w:rPr>
                <w:color w:val="000000"/>
                <w:sz w:val="20"/>
                <w:szCs w:val="20"/>
              </w:rPr>
            </w:pPr>
            <w:r>
              <w:rPr>
                <w:color w:val="000000"/>
                <w:sz w:val="20"/>
                <w:szCs w:val="20"/>
              </w:rPr>
              <w:t>17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DE0D946" w14:textId="621F7B34" w:rsidR="00165B48" w:rsidRDefault="00165B48" w:rsidP="00150105">
            <w:pPr>
              <w:keepNext/>
              <w:spacing w:before="100" w:beforeAutospacing="1" w:after="100" w:afterAutospacing="1" w:line="240" w:lineRule="auto"/>
              <w:jc w:val="center"/>
              <w:rPr>
                <w:color w:val="000000"/>
                <w:sz w:val="20"/>
                <w:szCs w:val="20"/>
              </w:rPr>
            </w:pPr>
            <w:r>
              <w:rPr>
                <w:sz w:val="20"/>
                <w:szCs w:val="20"/>
              </w:rPr>
              <w:t>Y</w:t>
            </w:r>
          </w:p>
        </w:tc>
        <w:tc>
          <w:tcPr>
            <w:tcW w:w="4291" w:type="dxa"/>
            <w:vMerge/>
            <w:tcBorders>
              <w:left w:val="nil"/>
              <w:right w:val="single" w:sz="12" w:space="0" w:color="auto"/>
            </w:tcBorders>
            <w:vAlign w:val="center"/>
            <w:hideMark/>
          </w:tcPr>
          <w:p w14:paraId="65FC3569" w14:textId="77777777" w:rsidR="00165B48" w:rsidRDefault="00165B48" w:rsidP="00150105">
            <w:pPr>
              <w:keepNext/>
              <w:spacing w:before="100" w:beforeAutospacing="1" w:after="100" w:afterAutospacing="1" w:line="240" w:lineRule="auto"/>
              <w:rPr>
                <w:rFonts w:ascii="Calibri" w:hAnsi="Calibri" w:cs="Calibri"/>
                <w:color w:val="000000"/>
                <w:sz w:val="20"/>
                <w:szCs w:val="20"/>
              </w:rPr>
            </w:pPr>
          </w:p>
        </w:tc>
      </w:tr>
      <w:tr w:rsidR="00165B48" w14:paraId="7F128053"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054942AB" w14:textId="4456760C" w:rsidR="00165B48" w:rsidRDefault="00165B48" w:rsidP="00320ADF">
            <w:pPr>
              <w:keepNext/>
              <w:spacing w:before="100" w:beforeAutospacing="1" w:after="100" w:afterAutospacing="1" w:line="240" w:lineRule="auto"/>
              <w:rPr>
                <w:sz w:val="20"/>
                <w:szCs w:val="20"/>
              </w:rPr>
            </w:pPr>
            <w:r>
              <w:rPr>
                <w:rFonts w:ascii="Calibri" w:hAnsi="Calibri" w:cs="Calibri"/>
                <w:color w:val="000000"/>
                <w:sz w:val="20"/>
                <w:szCs w:val="20"/>
              </w:rPr>
              <w:t>Waste Disposal</w:t>
            </w:r>
          </w:p>
        </w:tc>
        <w:tc>
          <w:tcPr>
            <w:tcW w:w="630" w:type="dxa"/>
            <w:tcBorders>
              <w:top w:val="nil"/>
              <w:left w:val="nil"/>
              <w:bottom w:val="single" w:sz="8" w:space="0" w:color="auto"/>
              <w:right w:val="single" w:sz="8" w:space="0" w:color="auto"/>
            </w:tcBorders>
          </w:tcPr>
          <w:p w14:paraId="668F56BC" w14:textId="63D229DA" w:rsidR="00165B48" w:rsidRDefault="00165B48" w:rsidP="00320ADF">
            <w:pPr>
              <w:keepNext/>
              <w:spacing w:before="100" w:beforeAutospacing="1" w:after="100" w:afterAutospacing="1" w:line="240" w:lineRule="auto"/>
              <w:jc w:val="center"/>
              <w:rPr>
                <w:sz w:val="20"/>
                <w:szCs w:val="20"/>
              </w:rPr>
            </w:pPr>
            <w:r>
              <w:rPr>
                <w:sz w:val="20"/>
                <w:szCs w:val="20"/>
              </w:rPr>
              <w:t>16</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3FF687A" w14:textId="25950CF9" w:rsidR="00165B48" w:rsidRDefault="00165B48" w:rsidP="00320ADF">
            <w:pPr>
              <w:keepNext/>
              <w:spacing w:before="100" w:beforeAutospacing="1" w:after="100" w:afterAutospacing="1" w:line="240" w:lineRule="auto"/>
              <w:jc w:val="center"/>
              <w:rPr>
                <w:sz w:val="20"/>
                <w:szCs w:val="20"/>
              </w:rPr>
            </w:pPr>
          </w:p>
        </w:tc>
        <w:tc>
          <w:tcPr>
            <w:tcW w:w="4291" w:type="dxa"/>
            <w:vMerge/>
            <w:tcBorders>
              <w:left w:val="nil"/>
              <w:right w:val="single" w:sz="12" w:space="0" w:color="auto"/>
            </w:tcBorders>
            <w:vAlign w:val="center"/>
            <w:hideMark/>
          </w:tcPr>
          <w:p w14:paraId="1857E5AB" w14:textId="77777777" w:rsidR="00165B48" w:rsidRDefault="00165B48" w:rsidP="00320ADF">
            <w:pPr>
              <w:keepNext/>
              <w:spacing w:before="100" w:beforeAutospacing="1" w:after="100" w:afterAutospacing="1" w:line="240" w:lineRule="auto"/>
              <w:rPr>
                <w:rFonts w:ascii="Calibri" w:hAnsi="Calibri" w:cs="Calibri"/>
                <w:color w:val="000000"/>
                <w:sz w:val="20"/>
                <w:szCs w:val="20"/>
              </w:rPr>
            </w:pPr>
          </w:p>
        </w:tc>
      </w:tr>
      <w:tr w:rsidR="00165B48" w14:paraId="78667D2F" w14:textId="77777777" w:rsidTr="0015010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03D1DAA1" w14:textId="0F3CFDAC" w:rsidR="00165B48" w:rsidRDefault="00165B48" w:rsidP="007D3912">
            <w:pPr>
              <w:spacing w:before="100" w:beforeAutospacing="1" w:after="100" w:afterAutospacing="1" w:line="240" w:lineRule="auto"/>
              <w:rPr>
                <w:sz w:val="20"/>
                <w:szCs w:val="20"/>
              </w:rPr>
            </w:pPr>
            <w:r w:rsidRPr="00150105">
              <w:rPr>
                <w:sz w:val="20"/>
                <w:szCs w:val="20"/>
              </w:rPr>
              <w:t>Fuel Comb - Industrial Boilers, ICEs - Biomass</w:t>
            </w:r>
          </w:p>
        </w:tc>
        <w:tc>
          <w:tcPr>
            <w:tcW w:w="630" w:type="dxa"/>
            <w:tcBorders>
              <w:top w:val="nil"/>
              <w:left w:val="nil"/>
              <w:bottom w:val="single" w:sz="8" w:space="0" w:color="auto"/>
              <w:right w:val="single" w:sz="8" w:space="0" w:color="auto"/>
            </w:tcBorders>
          </w:tcPr>
          <w:p w14:paraId="24BD0A50" w14:textId="2688C996" w:rsidR="00165B48" w:rsidRDefault="00165B48" w:rsidP="00320ADF">
            <w:pPr>
              <w:keepNext/>
              <w:spacing w:before="100" w:beforeAutospacing="1" w:after="100" w:afterAutospacing="1" w:line="240" w:lineRule="auto"/>
              <w:jc w:val="center"/>
              <w:rPr>
                <w:color w:val="000000"/>
                <w:sz w:val="20"/>
                <w:szCs w:val="20"/>
              </w:rPr>
            </w:pPr>
            <w:r>
              <w:rPr>
                <w:color w:val="000000"/>
                <w:sz w:val="20"/>
                <w:szCs w:val="20"/>
              </w:rPr>
              <w:t>14</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3415EE8" w14:textId="2270C883" w:rsidR="00165B48" w:rsidRDefault="00165B48" w:rsidP="00320ADF">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7DE29476" w14:textId="77777777" w:rsidR="00165B48" w:rsidRDefault="00165B48" w:rsidP="00320ADF">
            <w:pPr>
              <w:keepNext/>
              <w:spacing w:before="100" w:beforeAutospacing="1" w:after="100" w:afterAutospacing="1" w:line="240" w:lineRule="auto"/>
              <w:rPr>
                <w:rFonts w:ascii="Calibri" w:hAnsi="Calibri" w:cs="Calibri"/>
                <w:color w:val="000000"/>
                <w:sz w:val="20"/>
                <w:szCs w:val="20"/>
              </w:rPr>
            </w:pPr>
          </w:p>
        </w:tc>
      </w:tr>
      <w:tr w:rsidR="00165B48" w14:paraId="17756B47" w14:textId="77777777" w:rsidTr="00320ADF">
        <w:tc>
          <w:tcPr>
            <w:tcW w:w="385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tcPr>
          <w:p w14:paraId="55479068" w14:textId="60F65708" w:rsidR="00165B48" w:rsidRPr="00615927" w:rsidRDefault="00165B48" w:rsidP="007D3912">
            <w:pPr>
              <w:keepNext/>
              <w:spacing w:before="100" w:beforeAutospacing="1" w:after="100" w:afterAutospacing="1" w:line="240" w:lineRule="auto"/>
              <w:rPr>
                <w:color w:val="000000"/>
                <w:sz w:val="20"/>
                <w:szCs w:val="20"/>
              </w:rPr>
            </w:pPr>
            <w:r>
              <w:rPr>
                <w:color w:val="000000"/>
                <w:sz w:val="20"/>
                <w:szCs w:val="20"/>
              </w:rPr>
              <w:lastRenderedPageBreak/>
              <w:t>Taconite Mining</w:t>
            </w:r>
          </w:p>
        </w:tc>
        <w:tc>
          <w:tcPr>
            <w:tcW w:w="630" w:type="dxa"/>
            <w:tcBorders>
              <w:top w:val="single" w:sz="12" w:space="0" w:color="auto"/>
              <w:left w:val="single" w:sz="8" w:space="0" w:color="auto"/>
              <w:bottom w:val="single" w:sz="8" w:space="0" w:color="auto"/>
              <w:right w:val="single" w:sz="8" w:space="0" w:color="auto"/>
            </w:tcBorders>
          </w:tcPr>
          <w:p w14:paraId="357BCEFB" w14:textId="1C648363" w:rsidR="00165B48" w:rsidRDefault="00165B48" w:rsidP="00320ADF">
            <w:pPr>
              <w:keepNext/>
              <w:spacing w:before="100" w:beforeAutospacing="1" w:after="100" w:afterAutospacing="1" w:line="240" w:lineRule="auto"/>
              <w:jc w:val="center"/>
              <w:rPr>
                <w:color w:val="000000"/>
                <w:sz w:val="20"/>
                <w:szCs w:val="20"/>
              </w:rPr>
            </w:pPr>
            <w:r>
              <w:rPr>
                <w:color w:val="000000"/>
                <w:sz w:val="20"/>
                <w:szCs w:val="20"/>
              </w:rPr>
              <w:t>48</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69C04DEB" w14:textId="7E2260FC" w:rsidR="00165B48" w:rsidRDefault="00165B48" w:rsidP="00320ADF">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val="restart"/>
            <w:tcBorders>
              <w:top w:val="single" w:sz="12" w:space="0" w:color="auto"/>
              <w:left w:val="nil"/>
              <w:right w:val="single" w:sz="12" w:space="0" w:color="auto"/>
            </w:tcBorders>
            <w:tcMar>
              <w:top w:w="0" w:type="dxa"/>
              <w:left w:w="108" w:type="dxa"/>
              <w:bottom w:w="0" w:type="dxa"/>
              <w:right w:w="108" w:type="dxa"/>
            </w:tcMar>
            <w:vAlign w:val="center"/>
          </w:tcPr>
          <w:p w14:paraId="117A2F4E" w14:textId="27083959" w:rsidR="00165B48" w:rsidRDefault="00165B48" w:rsidP="00320ADF">
            <w:pPr>
              <w:keepNext/>
              <w:spacing w:before="100" w:beforeAutospacing="1" w:after="100" w:afterAutospacing="1" w:line="240" w:lineRule="auto"/>
              <w:rPr>
                <w:color w:val="000000"/>
                <w:sz w:val="20"/>
                <w:szCs w:val="20"/>
              </w:rPr>
            </w:pPr>
            <w:r>
              <w:rPr>
                <w:color w:val="000000"/>
                <w:sz w:val="20"/>
                <w:szCs w:val="20"/>
              </w:rPr>
              <w:t xml:space="preserve">Added to list with CAP and HAP indicators </w:t>
            </w:r>
            <w:r>
              <w:rPr>
                <w:color w:val="000000"/>
                <w:sz w:val="20"/>
                <w:szCs w:val="20"/>
              </w:rPr>
              <w:br/>
              <w:t>(0.75 NOx/person; 1.5 PM2.5/person; 0.75 SO2/person; 1.5 20 Worst HAPs; 1.5 Hg &amp; Worse HAPs)</w:t>
            </w:r>
          </w:p>
        </w:tc>
      </w:tr>
      <w:tr w:rsidR="00165B48" w14:paraId="5C3773F9" w14:textId="77777777" w:rsidTr="004B11BC">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bottom"/>
          </w:tcPr>
          <w:p w14:paraId="0EA12F27" w14:textId="51BFFC4B" w:rsidR="00165B48" w:rsidRDefault="00165B48" w:rsidP="00165B48">
            <w:pPr>
              <w:keepNext/>
              <w:spacing w:before="100" w:beforeAutospacing="1" w:after="100" w:afterAutospacing="1" w:line="240" w:lineRule="auto"/>
              <w:rPr>
                <w:color w:val="000000"/>
                <w:sz w:val="20"/>
                <w:szCs w:val="20"/>
              </w:rPr>
            </w:pPr>
            <w:r w:rsidRPr="00150105">
              <w:rPr>
                <w:rFonts w:ascii="Calibri" w:hAnsi="Calibri" w:cs="Calibri"/>
                <w:color w:val="000000"/>
                <w:sz w:val="20"/>
                <w:szCs w:val="20"/>
              </w:rPr>
              <w:t>Industrial Processes - Oil &amp; Gas Production</w:t>
            </w:r>
          </w:p>
        </w:tc>
        <w:tc>
          <w:tcPr>
            <w:tcW w:w="630" w:type="dxa"/>
            <w:tcBorders>
              <w:top w:val="single" w:sz="8" w:space="0" w:color="auto"/>
              <w:left w:val="single" w:sz="8" w:space="0" w:color="auto"/>
              <w:bottom w:val="single" w:sz="8" w:space="0" w:color="auto"/>
              <w:right w:val="single" w:sz="8" w:space="0" w:color="auto"/>
            </w:tcBorders>
          </w:tcPr>
          <w:p w14:paraId="589AB306" w14:textId="4D3E9AB1" w:rsidR="00165B48" w:rsidRDefault="00165B48" w:rsidP="00165B48">
            <w:pPr>
              <w:keepNext/>
              <w:spacing w:before="100" w:beforeAutospacing="1" w:after="100" w:afterAutospacing="1" w:line="240" w:lineRule="auto"/>
              <w:jc w:val="center"/>
              <w:rPr>
                <w:color w:val="000000"/>
                <w:sz w:val="20"/>
                <w:szCs w:val="20"/>
              </w:rPr>
            </w:pPr>
            <w:r>
              <w:rPr>
                <w:color w:val="000000"/>
                <w:sz w:val="20"/>
                <w:szCs w:val="20"/>
              </w:rPr>
              <w:t>37</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41D2CE70" w14:textId="77777777" w:rsidR="00165B48" w:rsidRDefault="00165B48" w:rsidP="00165B48">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tcMar>
              <w:top w:w="0" w:type="dxa"/>
              <w:left w:w="108" w:type="dxa"/>
              <w:bottom w:w="0" w:type="dxa"/>
              <w:right w:w="108" w:type="dxa"/>
            </w:tcMar>
            <w:vAlign w:val="center"/>
          </w:tcPr>
          <w:p w14:paraId="4F466FAF" w14:textId="77777777" w:rsidR="00165B48" w:rsidRDefault="00165B48" w:rsidP="00165B48">
            <w:pPr>
              <w:keepNext/>
              <w:spacing w:before="100" w:beforeAutospacing="1" w:after="100" w:afterAutospacing="1" w:line="240" w:lineRule="auto"/>
              <w:rPr>
                <w:color w:val="000000"/>
                <w:sz w:val="20"/>
                <w:szCs w:val="20"/>
              </w:rPr>
            </w:pPr>
          </w:p>
        </w:tc>
      </w:tr>
      <w:tr w:rsidR="00165B48" w14:paraId="2234EB35" w14:textId="77777777" w:rsidTr="004B11BC">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tcPr>
          <w:p w14:paraId="56690AC5" w14:textId="0F58BA11" w:rsidR="00165B48" w:rsidRPr="00150105" w:rsidRDefault="00165B48" w:rsidP="00165B48">
            <w:pPr>
              <w:keepNext/>
              <w:spacing w:after="0"/>
              <w:rPr>
                <w:rFonts w:ascii="Calibri" w:hAnsi="Calibri" w:cs="Calibri"/>
                <w:color w:val="000000"/>
              </w:rPr>
            </w:pPr>
            <w:r>
              <w:rPr>
                <w:color w:val="000000"/>
                <w:sz w:val="20"/>
                <w:szCs w:val="20"/>
              </w:rPr>
              <w:t>Dust – Unpaved Road Dust</w:t>
            </w:r>
          </w:p>
        </w:tc>
        <w:tc>
          <w:tcPr>
            <w:tcW w:w="630" w:type="dxa"/>
            <w:tcBorders>
              <w:top w:val="single" w:sz="8" w:space="0" w:color="auto"/>
              <w:left w:val="single" w:sz="8" w:space="0" w:color="auto"/>
              <w:bottom w:val="single" w:sz="8" w:space="0" w:color="auto"/>
              <w:right w:val="single" w:sz="8" w:space="0" w:color="auto"/>
            </w:tcBorders>
          </w:tcPr>
          <w:p w14:paraId="16CF1650" w14:textId="59E6C630" w:rsidR="00165B48" w:rsidRDefault="00165B48" w:rsidP="00165B48">
            <w:pPr>
              <w:keepNext/>
              <w:spacing w:before="100" w:beforeAutospacing="1" w:after="100" w:afterAutospacing="1" w:line="240" w:lineRule="auto"/>
              <w:jc w:val="center"/>
              <w:rPr>
                <w:color w:val="000000"/>
                <w:sz w:val="20"/>
                <w:szCs w:val="20"/>
              </w:rPr>
            </w:pPr>
            <w:r>
              <w:rPr>
                <w:color w:val="000000"/>
                <w:sz w:val="20"/>
                <w:szCs w:val="20"/>
              </w:rPr>
              <w:t>14</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2197C060" w14:textId="080DA0CF" w:rsidR="00165B48" w:rsidRDefault="00165B48" w:rsidP="00165B48">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tcMar>
              <w:top w:w="0" w:type="dxa"/>
              <w:left w:w="108" w:type="dxa"/>
              <w:bottom w:w="0" w:type="dxa"/>
              <w:right w:w="108" w:type="dxa"/>
            </w:tcMar>
            <w:vAlign w:val="center"/>
          </w:tcPr>
          <w:p w14:paraId="55BBD706" w14:textId="77777777" w:rsidR="00165B48" w:rsidRDefault="00165B48" w:rsidP="00165B48">
            <w:pPr>
              <w:keepNext/>
              <w:spacing w:before="100" w:beforeAutospacing="1" w:after="100" w:afterAutospacing="1" w:line="240" w:lineRule="auto"/>
              <w:rPr>
                <w:color w:val="000000"/>
                <w:sz w:val="20"/>
                <w:szCs w:val="20"/>
              </w:rPr>
            </w:pPr>
          </w:p>
        </w:tc>
      </w:tr>
      <w:tr w:rsidR="00165B48" w14:paraId="6389720A" w14:textId="77777777" w:rsidTr="008B1445">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140E8886" w14:textId="054DF921" w:rsidR="00165B48" w:rsidRPr="00150105" w:rsidRDefault="00165B48" w:rsidP="00165B48">
            <w:pPr>
              <w:keepNext/>
              <w:spacing w:after="0"/>
              <w:rPr>
                <w:rFonts w:ascii="Calibri" w:hAnsi="Calibri" w:cs="Calibri"/>
                <w:color w:val="000000"/>
                <w:sz w:val="20"/>
                <w:szCs w:val="20"/>
              </w:rPr>
            </w:pPr>
            <w:r w:rsidRPr="00150105">
              <w:rPr>
                <w:rFonts w:ascii="Calibri" w:hAnsi="Calibri" w:cs="Calibri"/>
                <w:color w:val="000000"/>
                <w:sz w:val="20"/>
                <w:szCs w:val="20"/>
              </w:rPr>
              <w:t>Reconstituted Wood Product Manufacturing</w:t>
            </w:r>
          </w:p>
        </w:tc>
        <w:tc>
          <w:tcPr>
            <w:tcW w:w="630" w:type="dxa"/>
            <w:tcBorders>
              <w:top w:val="single" w:sz="8" w:space="0" w:color="auto"/>
              <w:left w:val="single" w:sz="8" w:space="0" w:color="auto"/>
              <w:bottom w:val="single" w:sz="8" w:space="0" w:color="auto"/>
              <w:right w:val="single" w:sz="8" w:space="0" w:color="auto"/>
            </w:tcBorders>
          </w:tcPr>
          <w:p w14:paraId="0C982C56" w14:textId="1B5B2ABA" w:rsidR="00165B48" w:rsidRDefault="00165B48" w:rsidP="00165B48">
            <w:pPr>
              <w:keepNext/>
              <w:spacing w:before="100" w:beforeAutospacing="1" w:after="100" w:afterAutospacing="1" w:line="240" w:lineRule="auto"/>
              <w:jc w:val="center"/>
              <w:rPr>
                <w:color w:val="000000"/>
                <w:sz w:val="20"/>
                <w:szCs w:val="20"/>
              </w:rPr>
            </w:pPr>
            <w:r>
              <w:rPr>
                <w:color w:val="000000"/>
                <w:sz w:val="20"/>
                <w:szCs w:val="20"/>
              </w:rPr>
              <w:t>14</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44E9A6CC" w14:textId="1382DCD7" w:rsidR="00165B48" w:rsidRDefault="00165B48" w:rsidP="00165B48">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tcMar>
              <w:top w:w="0" w:type="dxa"/>
              <w:left w:w="108" w:type="dxa"/>
              <w:bottom w:w="0" w:type="dxa"/>
              <w:right w:w="108" w:type="dxa"/>
            </w:tcMar>
            <w:vAlign w:val="center"/>
          </w:tcPr>
          <w:p w14:paraId="52B0CBDB" w14:textId="77777777" w:rsidR="00165B48" w:rsidRDefault="00165B48" w:rsidP="00165B48">
            <w:pPr>
              <w:keepNext/>
              <w:spacing w:before="100" w:beforeAutospacing="1" w:after="100" w:afterAutospacing="1" w:line="240" w:lineRule="auto"/>
              <w:rPr>
                <w:color w:val="000000"/>
                <w:sz w:val="20"/>
                <w:szCs w:val="20"/>
              </w:rPr>
            </w:pPr>
          </w:p>
        </w:tc>
      </w:tr>
      <w:tr w:rsidR="00165B48" w14:paraId="11D0D86E" w14:textId="77777777" w:rsidTr="004B11BC">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6330048D" w14:textId="1E5EF195" w:rsidR="00165B48" w:rsidRPr="005E503A" w:rsidRDefault="00165B48" w:rsidP="00165B48">
            <w:pPr>
              <w:spacing w:before="100" w:beforeAutospacing="1" w:after="100" w:afterAutospacing="1" w:line="240" w:lineRule="auto"/>
              <w:rPr>
                <w:color w:val="000000"/>
                <w:sz w:val="20"/>
                <w:szCs w:val="20"/>
              </w:rPr>
            </w:pPr>
            <w:r>
              <w:rPr>
                <w:rFonts w:ascii="Calibri" w:hAnsi="Calibri" w:cs="Calibri"/>
                <w:color w:val="000000"/>
                <w:sz w:val="20"/>
                <w:szCs w:val="20"/>
              </w:rPr>
              <w:t>Sawmills</w:t>
            </w:r>
          </w:p>
        </w:tc>
        <w:tc>
          <w:tcPr>
            <w:tcW w:w="630" w:type="dxa"/>
            <w:tcBorders>
              <w:top w:val="single" w:sz="8" w:space="0" w:color="auto"/>
              <w:left w:val="single" w:sz="8" w:space="0" w:color="auto"/>
              <w:bottom w:val="single" w:sz="8" w:space="0" w:color="auto"/>
              <w:right w:val="single" w:sz="8" w:space="0" w:color="auto"/>
            </w:tcBorders>
          </w:tcPr>
          <w:p w14:paraId="442B8D2F" w14:textId="3B66B3ED" w:rsidR="00165B48" w:rsidRDefault="00165B48" w:rsidP="00165B48">
            <w:pPr>
              <w:keepNext/>
              <w:spacing w:before="100" w:beforeAutospacing="1" w:after="100" w:afterAutospacing="1" w:line="240" w:lineRule="auto"/>
              <w:jc w:val="center"/>
              <w:rPr>
                <w:color w:val="000000"/>
                <w:sz w:val="20"/>
                <w:szCs w:val="20"/>
              </w:rPr>
            </w:pPr>
            <w:r>
              <w:rPr>
                <w:color w:val="000000"/>
                <w:sz w:val="20"/>
                <w:szCs w:val="20"/>
              </w:rPr>
              <w:t>12</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55D4167F" w14:textId="6E1159EB" w:rsidR="00165B48" w:rsidRDefault="00165B48" w:rsidP="00165B48">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tcMar>
              <w:top w:w="0" w:type="dxa"/>
              <w:left w:w="108" w:type="dxa"/>
              <w:bottom w:w="0" w:type="dxa"/>
              <w:right w:w="108" w:type="dxa"/>
            </w:tcMar>
            <w:vAlign w:val="center"/>
          </w:tcPr>
          <w:p w14:paraId="446FD87C" w14:textId="77777777" w:rsidR="00165B48" w:rsidRDefault="00165B48" w:rsidP="00165B48">
            <w:pPr>
              <w:keepNext/>
              <w:spacing w:before="100" w:beforeAutospacing="1" w:after="100" w:afterAutospacing="1" w:line="240" w:lineRule="auto"/>
              <w:rPr>
                <w:color w:val="000000"/>
                <w:sz w:val="20"/>
                <w:szCs w:val="20"/>
              </w:rPr>
            </w:pPr>
          </w:p>
        </w:tc>
      </w:tr>
      <w:tr w:rsidR="00165B48" w14:paraId="7AEB0FB6" w14:textId="77777777" w:rsidTr="004B11BC">
        <w:tc>
          <w:tcPr>
            <w:tcW w:w="3855"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tcPr>
          <w:p w14:paraId="6CA5BCD3" w14:textId="2AB38FDF" w:rsidR="00165B48" w:rsidRDefault="00165B48" w:rsidP="00165B48">
            <w:pPr>
              <w:spacing w:before="100" w:beforeAutospacing="1" w:after="100" w:afterAutospacing="1" w:line="240" w:lineRule="auto"/>
              <w:rPr>
                <w:color w:val="000000"/>
                <w:sz w:val="20"/>
                <w:szCs w:val="20"/>
              </w:rPr>
            </w:pPr>
            <w:r>
              <w:rPr>
                <w:color w:val="000000"/>
                <w:sz w:val="20"/>
                <w:szCs w:val="20"/>
              </w:rPr>
              <w:t>Lime Manufacturing</w:t>
            </w:r>
          </w:p>
        </w:tc>
        <w:tc>
          <w:tcPr>
            <w:tcW w:w="630" w:type="dxa"/>
            <w:tcBorders>
              <w:top w:val="single" w:sz="8" w:space="0" w:color="auto"/>
              <w:left w:val="single" w:sz="8" w:space="0" w:color="auto"/>
              <w:bottom w:val="single" w:sz="12" w:space="0" w:color="auto"/>
              <w:right w:val="single" w:sz="8" w:space="0" w:color="auto"/>
            </w:tcBorders>
          </w:tcPr>
          <w:p w14:paraId="2D49E95C" w14:textId="45A32F75" w:rsidR="00165B48" w:rsidRDefault="00165B48" w:rsidP="00165B48">
            <w:pPr>
              <w:keepNext/>
              <w:spacing w:before="100" w:beforeAutospacing="1" w:after="100" w:afterAutospacing="1" w:line="240" w:lineRule="auto"/>
              <w:jc w:val="center"/>
              <w:rPr>
                <w:color w:val="000000"/>
                <w:sz w:val="20"/>
                <w:szCs w:val="20"/>
              </w:rPr>
            </w:pPr>
            <w:r>
              <w:rPr>
                <w:color w:val="000000"/>
                <w:sz w:val="20"/>
                <w:szCs w:val="20"/>
              </w:rPr>
              <w:t>12</w:t>
            </w:r>
          </w:p>
        </w:tc>
        <w:tc>
          <w:tcPr>
            <w:tcW w:w="749" w:type="dxa"/>
            <w:tcBorders>
              <w:top w:val="single" w:sz="8" w:space="0" w:color="auto"/>
              <w:left w:val="single" w:sz="8" w:space="0" w:color="auto"/>
              <w:bottom w:val="single" w:sz="12" w:space="0" w:color="auto"/>
              <w:right w:val="single" w:sz="8" w:space="0" w:color="auto"/>
            </w:tcBorders>
            <w:tcMar>
              <w:top w:w="0" w:type="dxa"/>
              <w:left w:w="108" w:type="dxa"/>
              <w:bottom w:w="0" w:type="dxa"/>
              <w:right w:w="108" w:type="dxa"/>
            </w:tcMar>
            <w:vAlign w:val="bottom"/>
          </w:tcPr>
          <w:p w14:paraId="078A27E5" w14:textId="2060865B" w:rsidR="00165B48" w:rsidRDefault="00165B48" w:rsidP="00165B48">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bottom w:val="single" w:sz="12" w:space="0" w:color="auto"/>
              <w:right w:val="single" w:sz="12" w:space="0" w:color="auto"/>
            </w:tcBorders>
            <w:tcMar>
              <w:top w:w="0" w:type="dxa"/>
              <w:left w:w="108" w:type="dxa"/>
              <w:bottom w:w="0" w:type="dxa"/>
              <w:right w:w="108" w:type="dxa"/>
            </w:tcMar>
            <w:vAlign w:val="center"/>
          </w:tcPr>
          <w:p w14:paraId="5A293BE1" w14:textId="77777777" w:rsidR="00165B48" w:rsidRDefault="00165B48" w:rsidP="00165B48">
            <w:pPr>
              <w:keepNext/>
              <w:spacing w:before="100" w:beforeAutospacing="1" w:after="100" w:afterAutospacing="1" w:line="240" w:lineRule="auto"/>
              <w:rPr>
                <w:color w:val="000000"/>
                <w:sz w:val="20"/>
                <w:szCs w:val="20"/>
              </w:rPr>
            </w:pPr>
          </w:p>
        </w:tc>
      </w:tr>
      <w:tr w:rsidR="00165B48" w14:paraId="44931C80"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321C269B" w14:textId="228E0DBD" w:rsidR="00165B48" w:rsidRDefault="00165B48" w:rsidP="00165B48">
            <w:pPr>
              <w:keepNext/>
              <w:spacing w:before="100" w:beforeAutospacing="1" w:after="100" w:afterAutospacing="1" w:line="240" w:lineRule="auto"/>
              <w:rPr>
                <w:sz w:val="20"/>
                <w:szCs w:val="20"/>
              </w:rPr>
            </w:pPr>
            <w:r>
              <w:rPr>
                <w:sz w:val="20"/>
                <w:szCs w:val="20"/>
              </w:rPr>
              <w:t>Landfill</w:t>
            </w:r>
          </w:p>
        </w:tc>
        <w:tc>
          <w:tcPr>
            <w:tcW w:w="630" w:type="dxa"/>
            <w:tcBorders>
              <w:top w:val="nil"/>
              <w:left w:val="nil"/>
              <w:bottom w:val="single" w:sz="8" w:space="0" w:color="auto"/>
              <w:right w:val="single" w:sz="8" w:space="0" w:color="auto"/>
            </w:tcBorders>
          </w:tcPr>
          <w:p w14:paraId="7D01CCDD" w14:textId="0483B900" w:rsidR="00165B48" w:rsidRDefault="00165B48" w:rsidP="00165B48">
            <w:pPr>
              <w:spacing w:before="100" w:beforeAutospacing="1" w:after="100" w:afterAutospacing="1" w:line="240" w:lineRule="auto"/>
              <w:jc w:val="center"/>
              <w:rPr>
                <w:color w:val="000000"/>
                <w:sz w:val="20"/>
                <w:szCs w:val="20"/>
              </w:rPr>
            </w:pPr>
            <w:r>
              <w:rPr>
                <w:color w:val="000000"/>
                <w:sz w:val="20"/>
                <w:szCs w:val="20"/>
              </w:rPr>
              <w:t>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91D4234" w14:textId="77777777" w:rsidR="00165B48" w:rsidRDefault="00165B48" w:rsidP="00165B48">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val="restart"/>
            <w:tcBorders>
              <w:top w:val="nil"/>
              <w:left w:val="nil"/>
              <w:right w:val="single" w:sz="12" w:space="0" w:color="auto"/>
            </w:tcBorders>
            <w:tcMar>
              <w:top w:w="0" w:type="dxa"/>
              <w:left w:w="108" w:type="dxa"/>
              <w:bottom w:w="0" w:type="dxa"/>
              <w:right w:w="108" w:type="dxa"/>
            </w:tcMar>
            <w:vAlign w:val="center"/>
            <w:hideMark/>
          </w:tcPr>
          <w:p w14:paraId="0281B1EA" w14:textId="5044CB65" w:rsidR="00165B48" w:rsidRDefault="00165B48" w:rsidP="00165B48">
            <w:pPr>
              <w:spacing w:before="100" w:beforeAutospacing="1" w:after="100" w:afterAutospacing="1" w:line="240" w:lineRule="auto"/>
              <w:rPr>
                <w:color w:val="000000"/>
                <w:sz w:val="20"/>
                <w:szCs w:val="20"/>
              </w:rPr>
            </w:pPr>
            <w:r>
              <w:rPr>
                <w:color w:val="000000"/>
                <w:sz w:val="20"/>
                <w:szCs w:val="20"/>
              </w:rPr>
              <w:t xml:space="preserve">Dropped off list with CAP </w:t>
            </w:r>
            <w:r w:rsidR="008D3AA7">
              <w:rPr>
                <w:color w:val="000000"/>
                <w:sz w:val="20"/>
                <w:szCs w:val="20"/>
              </w:rPr>
              <w:t xml:space="preserve">and HAP </w:t>
            </w:r>
            <w:r>
              <w:rPr>
                <w:color w:val="000000"/>
                <w:sz w:val="20"/>
                <w:szCs w:val="20"/>
              </w:rPr>
              <w:t>indicators added</w:t>
            </w:r>
          </w:p>
        </w:tc>
      </w:tr>
      <w:tr w:rsidR="00165B48" w14:paraId="2708044B" w14:textId="77777777" w:rsidTr="004B11BC">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0C9CA293" w14:textId="1B1FBEC3" w:rsidR="00165B48" w:rsidRDefault="00165B48" w:rsidP="00165B48">
            <w:pPr>
              <w:keepNext/>
              <w:spacing w:before="100" w:beforeAutospacing="1" w:after="100" w:afterAutospacing="1" w:line="240" w:lineRule="auto"/>
              <w:rPr>
                <w:sz w:val="20"/>
                <w:szCs w:val="20"/>
              </w:rPr>
            </w:pPr>
            <w:r w:rsidRPr="000872A1">
              <w:rPr>
                <w:rFonts w:ascii="Calibri" w:hAnsi="Calibri" w:cs="Calibri"/>
                <w:color w:val="000000"/>
                <w:sz w:val="20"/>
                <w:szCs w:val="20"/>
              </w:rPr>
              <w:t>Waste Combustion &amp; Treatment</w:t>
            </w:r>
          </w:p>
        </w:tc>
        <w:tc>
          <w:tcPr>
            <w:tcW w:w="630" w:type="dxa"/>
            <w:tcBorders>
              <w:top w:val="nil"/>
              <w:left w:val="nil"/>
              <w:bottom w:val="single" w:sz="8" w:space="0" w:color="auto"/>
              <w:right w:val="single" w:sz="8" w:space="0" w:color="auto"/>
            </w:tcBorders>
          </w:tcPr>
          <w:p w14:paraId="70159207" w14:textId="322E80D6" w:rsidR="00165B48" w:rsidRDefault="00165B48" w:rsidP="00165B48">
            <w:pPr>
              <w:spacing w:before="100" w:beforeAutospacing="1" w:after="100" w:afterAutospacing="1" w:line="240" w:lineRule="auto"/>
              <w:jc w:val="center"/>
              <w:rPr>
                <w:color w:val="000000"/>
                <w:sz w:val="20"/>
                <w:szCs w:val="20"/>
              </w:rPr>
            </w:pPr>
            <w:r>
              <w:rPr>
                <w:color w:val="000000"/>
                <w:sz w:val="20"/>
                <w:szCs w:val="20"/>
              </w:rPr>
              <w:t>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6901254" w14:textId="3D1165E3" w:rsidR="00165B48" w:rsidRDefault="00165B48" w:rsidP="00165B48">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tcMar>
              <w:top w:w="0" w:type="dxa"/>
              <w:left w:w="108" w:type="dxa"/>
              <w:bottom w:w="0" w:type="dxa"/>
              <w:right w:w="108" w:type="dxa"/>
            </w:tcMar>
            <w:vAlign w:val="center"/>
          </w:tcPr>
          <w:p w14:paraId="601BD6B0" w14:textId="77777777" w:rsidR="00165B48" w:rsidRDefault="00165B48" w:rsidP="00165B48">
            <w:pPr>
              <w:spacing w:before="100" w:beforeAutospacing="1" w:after="100" w:afterAutospacing="1" w:line="240" w:lineRule="auto"/>
              <w:rPr>
                <w:color w:val="000000"/>
                <w:sz w:val="20"/>
                <w:szCs w:val="20"/>
              </w:rPr>
            </w:pPr>
          </w:p>
        </w:tc>
      </w:tr>
      <w:tr w:rsidR="00165B48" w14:paraId="24253312" w14:textId="77777777" w:rsidTr="004B11BC">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58E33DC2" w14:textId="7D4A0C56" w:rsidR="00165B48" w:rsidRDefault="00513A3A" w:rsidP="00165B48">
            <w:pPr>
              <w:keepNext/>
              <w:spacing w:before="100" w:beforeAutospacing="1" w:after="100" w:afterAutospacing="1" w:line="240" w:lineRule="auto"/>
              <w:rPr>
                <w:sz w:val="20"/>
                <w:szCs w:val="20"/>
              </w:rPr>
            </w:pPr>
            <w:r w:rsidRPr="000872A1">
              <w:rPr>
                <w:rFonts w:ascii="Calibri" w:hAnsi="Calibri" w:cs="Calibri"/>
                <w:color w:val="000000"/>
                <w:sz w:val="20"/>
                <w:szCs w:val="20"/>
              </w:rPr>
              <w:t xml:space="preserve">Other </w:t>
            </w:r>
            <w:r>
              <w:rPr>
                <w:rFonts w:ascii="Calibri" w:hAnsi="Calibri" w:cs="Calibri"/>
                <w:color w:val="000000"/>
                <w:sz w:val="20"/>
                <w:szCs w:val="20"/>
              </w:rPr>
              <w:t>M</w:t>
            </w:r>
            <w:r w:rsidRPr="000872A1">
              <w:rPr>
                <w:rFonts w:ascii="Calibri" w:hAnsi="Calibri" w:cs="Calibri"/>
                <w:color w:val="000000"/>
                <w:sz w:val="20"/>
                <w:szCs w:val="20"/>
              </w:rPr>
              <w:t>etal</w:t>
            </w:r>
            <w:r>
              <w:rPr>
                <w:rFonts w:ascii="Calibri" w:hAnsi="Calibri" w:cs="Calibri"/>
                <w:color w:val="000000"/>
                <w:sz w:val="20"/>
                <w:szCs w:val="20"/>
              </w:rPr>
              <w:t xml:space="preserve"> </w:t>
            </w:r>
            <w:r>
              <w:rPr>
                <w:rFonts w:ascii="Calibri" w:hAnsi="Calibri" w:cs="Calibri"/>
                <w:color w:val="000000"/>
                <w:sz w:val="20"/>
                <w:szCs w:val="20"/>
              </w:rPr>
              <w:t>M</w:t>
            </w:r>
            <w:r>
              <w:rPr>
                <w:rFonts w:ascii="Calibri" w:hAnsi="Calibri" w:cs="Calibri"/>
                <w:color w:val="000000"/>
                <w:sz w:val="20"/>
                <w:szCs w:val="20"/>
              </w:rPr>
              <w:t>anufacturing</w:t>
            </w:r>
          </w:p>
        </w:tc>
        <w:tc>
          <w:tcPr>
            <w:tcW w:w="630" w:type="dxa"/>
            <w:tcBorders>
              <w:top w:val="nil"/>
              <w:left w:val="nil"/>
              <w:bottom w:val="single" w:sz="8" w:space="0" w:color="auto"/>
              <w:right w:val="single" w:sz="8" w:space="0" w:color="auto"/>
            </w:tcBorders>
          </w:tcPr>
          <w:p w14:paraId="20C51D09" w14:textId="4C5CF357" w:rsidR="00165B48" w:rsidRDefault="00165B48" w:rsidP="00165B48">
            <w:pPr>
              <w:spacing w:before="100" w:beforeAutospacing="1" w:after="100" w:afterAutospacing="1" w:line="240" w:lineRule="auto"/>
              <w:jc w:val="center"/>
              <w:rPr>
                <w:color w:val="000000"/>
                <w:sz w:val="20"/>
                <w:szCs w:val="20"/>
              </w:rPr>
            </w:pPr>
            <w:r>
              <w:rPr>
                <w:color w:val="000000"/>
                <w:sz w:val="20"/>
                <w:szCs w:val="20"/>
              </w:rPr>
              <w:t>8</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4F7A8C7" w14:textId="24F02F3E" w:rsidR="00165B48" w:rsidRDefault="00165B48" w:rsidP="00165B48">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tcMar>
              <w:top w:w="0" w:type="dxa"/>
              <w:left w:w="108" w:type="dxa"/>
              <w:bottom w:w="0" w:type="dxa"/>
              <w:right w:w="108" w:type="dxa"/>
            </w:tcMar>
            <w:vAlign w:val="center"/>
          </w:tcPr>
          <w:p w14:paraId="6C12B135" w14:textId="77777777" w:rsidR="00165B48" w:rsidRDefault="00165B48" w:rsidP="00165B48">
            <w:pPr>
              <w:spacing w:before="100" w:beforeAutospacing="1" w:after="100" w:afterAutospacing="1" w:line="240" w:lineRule="auto"/>
              <w:rPr>
                <w:color w:val="000000"/>
                <w:sz w:val="20"/>
                <w:szCs w:val="20"/>
              </w:rPr>
            </w:pPr>
          </w:p>
        </w:tc>
      </w:tr>
      <w:tr w:rsidR="00165B48" w14:paraId="3FDECE4C"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5AB920B5" w14:textId="278C92BA" w:rsidR="00165B48" w:rsidRDefault="00165B48" w:rsidP="00165B48">
            <w:pPr>
              <w:keepNext/>
              <w:spacing w:before="100" w:beforeAutospacing="1" w:after="100" w:afterAutospacing="1" w:line="240" w:lineRule="auto"/>
              <w:rPr>
                <w:sz w:val="20"/>
                <w:szCs w:val="20"/>
              </w:rPr>
            </w:pPr>
            <w:r>
              <w:rPr>
                <w:sz w:val="20"/>
                <w:szCs w:val="20"/>
              </w:rPr>
              <w:t>Mining (except taconite and O&amp;G)</w:t>
            </w:r>
          </w:p>
        </w:tc>
        <w:tc>
          <w:tcPr>
            <w:tcW w:w="630" w:type="dxa"/>
            <w:tcBorders>
              <w:top w:val="nil"/>
              <w:left w:val="nil"/>
              <w:bottom w:val="single" w:sz="8" w:space="0" w:color="auto"/>
              <w:right w:val="single" w:sz="8" w:space="0" w:color="auto"/>
            </w:tcBorders>
          </w:tcPr>
          <w:p w14:paraId="0B28B82B" w14:textId="30BB344D" w:rsidR="00165B48" w:rsidRDefault="00165B48" w:rsidP="00165B48">
            <w:pPr>
              <w:spacing w:before="100" w:beforeAutospacing="1" w:after="100" w:afterAutospacing="1" w:line="240" w:lineRule="auto"/>
              <w:jc w:val="center"/>
              <w:rPr>
                <w:color w:val="000000"/>
                <w:sz w:val="20"/>
                <w:szCs w:val="20"/>
              </w:rPr>
            </w:pPr>
            <w:r>
              <w:rPr>
                <w:color w:val="000000"/>
                <w:sz w:val="20"/>
                <w:szCs w:val="20"/>
              </w:rPr>
              <w:t>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42DF920" w14:textId="77777777" w:rsidR="00165B48" w:rsidRDefault="00165B48" w:rsidP="00165B48">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62BB209B" w14:textId="77777777" w:rsidR="00165B48" w:rsidRDefault="00165B48" w:rsidP="00165B48">
            <w:pPr>
              <w:spacing w:before="100" w:beforeAutospacing="1" w:after="100" w:afterAutospacing="1" w:line="240" w:lineRule="auto"/>
              <w:rPr>
                <w:rFonts w:ascii="Calibri" w:hAnsi="Calibri" w:cs="Calibri"/>
                <w:color w:val="000000"/>
                <w:sz w:val="20"/>
                <w:szCs w:val="20"/>
              </w:rPr>
            </w:pPr>
          </w:p>
        </w:tc>
      </w:tr>
      <w:tr w:rsidR="00165B48" w14:paraId="396489E7"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57AE8CAA" w14:textId="4A55942C" w:rsidR="00165B48" w:rsidRDefault="00165B48" w:rsidP="00165B48">
            <w:pPr>
              <w:keepNext/>
              <w:spacing w:before="100" w:beforeAutospacing="1" w:after="100" w:afterAutospacing="1" w:line="240" w:lineRule="auto"/>
              <w:rPr>
                <w:sz w:val="20"/>
                <w:szCs w:val="20"/>
              </w:rPr>
            </w:pPr>
            <w:r w:rsidRPr="000872A1">
              <w:rPr>
                <w:rFonts w:ascii="Calibri" w:hAnsi="Calibri" w:cs="Calibri"/>
                <w:color w:val="000000"/>
                <w:sz w:val="20"/>
                <w:szCs w:val="20"/>
              </w:rPr>
              <w:t>Synthetic Organic Chemical Industry</w:t>
            </w:r>
          </w:p>
        </w:tc>
        <w:tc>
          <w:tcPr>
            <w:tcW w:w="630" w:type="dxa"/>
            <w:tcBorders>
              <w:top w:val="nil"/>
              <w:left w:val="nil"/>
              <w:bottom w:val="single" w:sz="8" w:space="0" w:color="auto"/>
              <w:right w:val="single" w:sz="8" w:space="0" w:color="auto"/>
            </w:tcBorders>
          </w:tcPr>
          <w:p w14:paraId="5E5732AB" w14:textId="50224781" w:rsidR="00165B48" w:rsidRDefault="00165B48" w:rsidP="00165B48">
            <w:pPr>
              <w:spacing w:before="100" w:beforeAutospacing="1" w:after="100" w:afterAutospacing="1" w:line="240" w:lineRule="auto"/>
              <w:jc w:val="center"/>
              <w:rPr>
                <w:color w:val="000000"/>
                <w:sz w:val="20"/>
                <w:szCs w:val="20"/>
              </w:rPr>
            </w:pPr>
            <w:r>
              <w:rPr>
                <w:color w:val="000000"/>
                <w:sz w:val="20"/>
                <w:szCs w:val="20"/>
              </w:rPr>
              <w:t>5</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23FACF3" w14:textId="7169608E" w:rsidR="00165B48" w:rsidRDefault="00165B48" w:rsidP="00165B48">
            <w:pPr>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tcPr>
          <w:p w14:paraId="6FDAD684" w14:textId="77777777" w:rsidR="00165B48" w:rsidRDefault="00165B48" w:rsidP="00165B48">
            <w:pPr>
              <w:spacing w:before="100" w:beforeAutospacing="1" w:after="100" w:afterAutospacing="1" w:line="240" w:lineRule="auto"/>
              <w:rPr>
                <w:rFonts w:ascii="Calibri" w:hAnsi="Calibri" w:cs="Calibri"/>
                <w:color w:val="000000"/>
                <w:sz w:val="20"/>
                <w:szCs w:val="20"/>
              </w:rPr>
            </w:pPr>
          </w:p>
        </w:tc>
      </w:tr>
      <w:tr w:rsidR="00165B48" w14:paraId="3F2F6A6D" w14:textId="77777777" w:rsidTr="008B1445">
        <w:tc>
          <w:tcPr>
            <w:tcW w:w="3855"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bottom"/>
          </w:tcPr>
          <w:p w14:paraId="43D6FD7A" w14:textId="4CADE78D" w:rsidR="00165B48" w:rsidRDefault="00165B48" w:rsidP="00165B48">
            <w:pPr>
              <w:spacing w:before="100" w:beforeAutospacing="1" w:after="100" w:afterAutospacing="1" w:line="240" w:lineRule="auto"/>
              <w:rPr>
                <w:sz w:val="20"/>
                <w:szCs w:val="20"/>
              </w:rPr>
            </w:pPr>
            <w:r>
              <w:rPr>
                <w:sz w:val="20"/>
                <w:szCs w:val="20"/>
              </w:rPr>
              <w:t>Commercial Cooking</w:t>
            </w:r>
          </w:p>
        </w:tc>
        <w:tc>
          <w:tcPr>
            <w:tcW w:w="630" w:type="dxa"/>
            <w:tcBorders>
              <w:top w:val="nil"/>
              <w:left w:val="nil"/>
              <w:bottom w:val="single" w:sz="12" w:space="0" w:color="auto"/>
              <w:right w:val="single" w:sz="8" w:space="0" w:color="auto"/>
            </w:tcBorders>
          </w:tcPr>
          <w:p w14:paraId="29C716A0" w14:textId="4698DA73" w:rsidR="00165B48" w:rsidRDefault="00165B48" w:rsidP="00165B48">
            <w:pPr>
              <w:spacing w:before="100" w:beforeAutospacing="1" w:after="100" w:afterAutospacing="1" w:line="240" w:lineRule="auto"/>
              <w:jc w:val="center"/>
              <w:rPr>
                <w:color w:val="000000"/>
                <w:sz w:val="20"/>
                <w:szCs w:val="20"/>
              </w:rPr>
            </w:pPr>
            <w:r>
              <w:rPr>
                <w:color w:val="000000"/>
                <w:sz w:val="20"/>
                <w:szCs w:val="20"/>
              </w:rPr>
              <w:t>5</w:t>
            </w:r>
          </w:p>
        </w:tc>
        <w:tc>
          <w:tcPr>
            <w:tcW w:w="749"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bottom"/>
          </w:tcPr>
          <w:p w14:paraId="55BBC1C7" w14:textId="77777777" w:rsidR="00165B48" w:rsidRDefault="00165B48" w:rsidP="00165B48">
            <w:pPr>
              <w:spacing w:before="100" w:beforeAutospacing="1" w:after="100" w:afterAutospacing="1" w:line="240" w:lineRule="auto"/>
              <w:jc w:val="center"/>
              <w:rPr>
                <w:color w:val="000000"/>
                <w:sz w:val="20"/>
                <w:szCs w:val="20"/>
              </w:rPr>
            </w:pPr>
          </w:p>
        </w:tc>
        <w:tc>
          <w:tcPr>
            <w:tcW w:w="4291" w:type="dxa"/>
            <w:vMerge/>
            <w:tcBorders>
              <w:left w:val="nil"/>
              <w:bottom w:val="single" w:sz="12" w:space="0" w:color="auto"/>
              <w:right w:val="single" w:sz="12" w:space="0" w:color="auto"/>
            </w:tcBorders>
            <w:vAlign w:val="center"/>
          </w:tcPr>
          <w:p w14:paraId="1F05DE57" w14:textId="77777777" w:rsidR="00165B48" w:rsidRDefault="00165B48" w:rsidP="00165B48">
            <w:pPr>
              <w:spacing w:before="100" w:beforeAutospacing="1" w:after="100" w:afterAutospacing="1" w:line="240" w:lineRule="auto"/>
              <w:rPr>
                <w:rFonts w:ascii="Calibri" w:hAnsi="Calibri" w:cs="Calibri"/>
                <w:color w:val="000000"/>
                <w:sz w:val="20"/>
                <w:szCs w:val="20"/>
              </w:rPr>
            </w:pPr>
          </w:p>
        </w:tc>
      </w:tr>
    </w:tbl>
    <w:p w14:paraId="7A6635C0" w14:textId="048877FC" w:rsidR="00320ADF" w:rsidRDefault="00320ADF" w:rsidP="00320ADF"/>
    <w:bookmarkEnd w:id="3"/>
    <w:p w14:paraId="70F801EA" w14:textId="4E7C6914" w:rsidR="00632441" w:rsidRDefault="00632441" w:rsidP="00632441">
      <w:pPr>
        <w:pStyle w:val="Heading2"/>
      </w:pPr>
      <w:r>
        <w:t xml:space="preserve">Explore impact </w:t>
      </w:r>
      <w:r w:rsidR="00EB42EA">
        <w:t>on sector ranking due to</w:t>
      </w:r>
      <w:r>
        <w:t xml:space="preserve"> </w:t>
      </w:r>
      <w:r w:rsidR="004B11BC">
        <w:t xml:space="preserve">sectors </w:t>
      </w:r>
      <w:r w:rsidR="008D3AA7">
        <w:t>being in</w:t>
      </w:r>
      <w:r w:rsidR="004B11BC">
        <w:t xml:space="preserve"> </w:t>
      </w:r>
      <w:r w:rsidR="000465AB">
        <w:t>counties</w:t>
      </w:r>
      <w:r>
        <w:t xml:space="preserve"> with higher risk</w:t>
      </w:r>
      <w:r w:rsidR="00EB42EA">
        <w:t>s</w:t>
      </w:r>
    </w:p>
    <w:p w14:paraId="0A3A9241" w14:textId="6E7F512A" w:rsidR="007D3912" w:rsidRDefault="007D3912" w:rsidP="007D3912">
      <w:r>
        <w:t xml:space="preserve">This third example builds on the previous example by selecting populations of focus based on PM morality, ozone mortality, or HAP risk.  These data were all taken from NEXUS tool at the county level.  PM and ozone mortality were previously estimated by BenMAP based on nationwide fused surfaces of O3 and PM2.5, and the </w:t>
      </w:r>
      <w:r w:rsidR="004B11BC">
        <w:t xml:space="preserve">HAP </w:t>
      </w:r>
      <w:r>
        <w:t>cancer risk at a county level from 2014 NATA.</w:t>
      </w:r>
    </w:p>
    <w:p w14:paraId="284928A2" w14:textId="58757CD6" w:rsidR="007D3912" w:rsidRDefault="007D3912" w:rsidP="007D3912">
      <w:r>
        <w:t>Three scenarios were explored by including only the populations in the per-capita indictors as follows: (1)</w:t>
      </w:r>
      <w:r w:rsidR="00DB2882">
        <w:t> </w:t>
      </w:r>
      <w:r>
        <w:t>PM2.5 mortality greater than 10 in 10,000; (2) O3 mortality greater than 1 in 10,000; and air toxics cancer risk greater than 50 in a million.</w:t>
      </w:r>
      <w:r w:rsidR="00165B48">
        <w:t xml:space="preserve">  In each of these three scenarios, counties are selected based on the criteria, which changes the populations and sector emissions.</w:t>
      </w:r>
      <w:r w:rsidR="006A4A08">
        <w:t xml:space="preserve">  Finally, a fourth scenario was included that applies all three criteria to examine the impact on the top 15 sectors selected.</w:t>
      </w:r>
    </w:p>
    <w:p w14:paraId="7873AF74" w14:textId="77777777" w:rsidR="00550184" w:rsidRDefault="007D3912" w:rsidP="004B11BC">
      <w:r>
        <w:rPr>
          <w:b/>
          <w:bCs/>
        </w:rPr>
        <w:t xml:space="preserve">Findings: </w:t>
      </w:r>
      <w:r w:rsidR="006A4A08" w:rsidRPr="006A4A08">
        <w:t>Selec</w:t>
      </w:r>
      <w:r w:rsidR="006A4A08">
        <w:t xml:space="preserve">ting populations and associated sectors based on PM mortality, ozone mortality, and HAP risk has a significant impact on some of the sectors included in the top 15.  As shown in </w:t>
      </w:r>
      <w:r w:rsidR="00550184" w:rsidRPr="00550184">
        <w:fldChar w:fldCharType="begin"/>
      </w:r>
      <w:r w:rsidR="00550184" w:rsidRPr="00550184">
        <w:instrText xml:space="preserve"> REF _Ref65051270 \h </w:instrText>
      </w:r>
      <w:r w:rsidR="00550184" w:rsidRPr="00550184">
        <w:instrText xml:space="preserve"> \* MERGEFORMAT </w:instrText>
      </w:r>
      <w:r w:rsidR="00550184" w:rsidRPr="00550184">
        <w:fldChar w:fldCharType="separate"/>
      </w:r>
      <w:r w:rsidR="00550184" w:rsidRPr="00550184">
        <w:t xml:space="preserve">Table </w:t>
      </w:r>
      <w:r w:rsidR="00550184" w:rsidRPr="00550184">
        <w:rPr>
          <w:noProof/>
        </w:rPr>
        <w:t>3</w:t>
      </w:r>
      <w:r w:rsidR="00550184" w:rsidRPr="00550184">
        <w:fldChar w:fldCharType="end"/>
      </w:r>
      <w:r w:rsidR="006A4A08">
        <w:t xml:space="preserve">, </w:t>
      </w:r>
      <w:r w:rsidR="00550184">
        <w:t>seven</w:t>
      </w:r>
      <w:r w:rsidR="006A4A08">
        <w:t xml:space="preserve"> sectors were included in the top 15 for all three scenarios</w:t>
      </w:r>
      <w:r w:rsidR="00550184">
        <w:t xml:space="preserve"> as well as in the final scenario of Table 2.  An additional 3 sectors were included in the 3 scenarios but not in Table 2.  An additional 7 sectors where included in Scenario 1, 8 sectors in Scenario 2, and 6 sectors in Scenario 3.  </w:t>
      </w:r>
    </w:p>
    <w:p w14:paraId="5DCEAE59" w14:textId="4495C9C0" w:rsidR="007D3912" w:rsidRDefault="00550184" w:rsidP="004B11BC">
      <w:r>
        <w:t xml:space="preserve">In addition, when all three criteria are applied, those results are provided in </w:t>
      </w:r>
      <w:r w:rsidRPr="00550184">
        <w:fldChar w:fldCharType="begin"/>
      </w:r>
      <w:r w:rsidRPr="00550184">
        <w:instrText xml:space="preserve"> REF _Ref65051281 \h </w:instrText>
      </w:r>
      <w:r w:rsidRPr="00550184">
        <w:instrText xml:space="preserve"> \* MERGEFORMAT </w:instrText>
      </w:r>
      <w:r w:rsidRPr="00550184">
        <w:fldChar w:fldCharType="separate"/>
      </w:r>
      <w:r w:rsidRPr="00550184">
        <w:t xml:space="preserve">Table </w:t>
      </w:r>
      <w:r w:rsidRPr="00550184">
        <w:rPr>
          <w:noProof/>
        </w:rPr>
        <w:t>4</w:t>
      </w:r>
      <w:r w:rsidRPr="00550184">
        <w:fldChar w:fldCharType="end"/>
      </w:r>
      <w:r>
        <w:t>.  In this case, most of the top 15 sectors included were also selected in the previous scenarios.  The only sectors that are added in this final example (that didn’t appear in Table 3) are the Commercial Cooking and External Combustion Boilers sectors.</w:t>
      </w:r>
    </w:p>
    <w:p w14:paraId="5F33DDBB" w14:textId="11966732" w:rsidR="00106B11" w:rsidRDefault="00106B11" w:rsidP="006A4A08">
      <w:pPr>
        <w:pStyle w:val="Caption"/>
        <w:keepNext/>
      </w:pPr>
      <w:bookmarkStart w:id="4" w:name="_Ref65051270"/>
      <w:r w:rsidRPr="00165B48">
        <w:rPr>
          <w:b/>
          <w:bCs/>
        </w:rPr>
        <w:lastRenderedPageBreak/>
        <w:t xml:space="preserve">Table </w:t>
      </w:r>
      <w:r w:rsidRPr="00165B48">
        <w:rPr>
          <w:b/>
          <w:bCs/>
        </w:rPr>
        <w:fldChar w:fldCharType="begin"/>
      </w:r>
      <w:r w:rsidRPr="00165B48">
        <w:rPr>
          <w:b/>
          <w:bCs/>
        </w:rPr>
        <w:instrText xml:space="preserve"> SEQ Table \* ARABIC </w:instrText>
      </w:r>
      <w:r w:rsidRPr="00165B48">
        <w:rPr>
          <w:b/>
          <w:bCs/>
        </w:rPr>
        <w:fldChar w:fldCharType="separate"/>
      </w:r>
      <w:r w:rsidR="00550184">
        <w:rPr>
          <w:b/>
          <w:bCs/>
          <w:noProof/>
        </w:rPr>
        <w:t>3</w:t>
      </w:r>
      <w:r w:rsidRPr="00165B48">
        <w:rPr>
          <w:b/>
          <w:bCs/>
        </w:rPr>
        <w:fldChar w:fldCharType="end"/>
      </w:r>
      <w:bookmarkEnd w:id="4"/>
      <w:r>
        <w:t xml:space="preserve">: </w:t>
      </w:r>
      <w:r w:rsidR="00165B48">
        <w:t xml:space="preserve">Top 15 sectors identified and listed by </w:t>
      </w:r>
      <w:r w:rsidR="006A4A08">
        <w:t>score</w:t>
      </w:r>
      <w:r w:rsidR="00165B48">
        <w:t xml:space="preserve"> under a GHG/CAP/HAP scenario</w:t>
      </w:r>
      <w:r w:rsidR="006A4A08">
        <w:t xml:space="preserve"> with three different county selection criteria</w:t>
      </w:r>
      <w:r w:rsidR="00165B48">
        <w:t xml:space="preserve">.  </w:t>
      </w:r>
      <w:r w:rsidR="006A4A08">
        <w:t>All three scores are shown.</w:t>
      </w:r>
    </w:p>
    <w:tbl>
      <w:tblPr>
        <w:tblW w:w="9525" w:type="dxa"/>
        <w:tblLayout w:type="fixed"/>
        <w:tblCellMar>
          <w:left w:w="0" w:type="dxa"/>
          <w:right w:w="0" w:type="dxa"/>
        </w:tblCellMar>
        <w:tblLook w:val="04A0" w:firstRow="1" w:lastRow="0" w:firstColumn="1" w:lastColumn="0" w:noHBand="0" w:noVBand="1"/>
      </w:tblPr>
      <w:tblGrid>
        <w:gridCol w:w="4485"/>
        <w:gridCol w:w="990"/>
        <w:gridCol w:w="749"/>
        <w:gridCol w:w="3301"/>
      </w:tblGrid>
      <w:tr w:rsidR="00332F6D" w14:paraId="51AE5D88" w14:textId="77777777" w:rsidTr="0003281C">
        <w:trPr>
          <w:tblHeader/>
        </w:trPr>
        <w:tc>
          <w:tcPr>
            <w:tcW w:w="4485"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vAlign w:val="bottom"/>
            <w:hideMark/>
          </w:tcPr>
          <w:p w14:paraId="4197A254" w14:textId="77777777" w:rsidR="00332F6D" w:rsidRDefault="00332F6D" w:rsidP="00C65196">
            <w:pPr>
              <w:keepNext/>
              <w:spacing w:before="100" w:beforeAutospacing="1" w:after="100" w:afterAutospacing="1"/>
              <w:rPr>
                <w:b/>
                <w:bCs/>
                <w:color w:val="000000"/>
                <w:sz w:val="20"/>
                <w:szCs w:val="20"/>
              </w:rPr>
            </w:pPr>
            <w:r>
              <w:rPr>
                <w:b/>
                <w:bCs/>
                <w:color w:val="000000"/>
                <w:sz w:val="20"/>
                <w:szCs w:val="20"/>
              </w:rPr>
              <w:t>Sector</w:t>
            </w:r>
          </w:p>
        </w:tc>
        <w:tc>
          <w:tcPr>
            <w:tcW w:w="990" w:type="dxa"/>
            <w:tcBorders>
              <w:top w:val="single" w:sz="12" w:space="0" w:color="auto"/>
              <w:left w:val="nil"/>
              <w:bottom w:val="single" w:sz="12" w:space="0" w:color="auto"/>
              <w:right w:val="single" w:sz="8" w:space="0" w:color="auto"/>
            </w:tcBorders>
          </w:tcPr>
          <w:p w14:paraId="713B4CAD" w14:textId="77777777" w:rsidR="00332F6D" w:rsidRDefault="00332F6D" w:rsidP="00C65196">
            <w:pPr>
              <w:keepNext/>
              <w:spacing w:before="100" w:beforeAutospacing="1" w:after="100" w:afterAutospacing="1"/>
              <w:jc w:val="center"/>
              <w:rPr>
                <w:b/>
                <w:bCs/>
                <w:color w:val="000000"/>
                <w:sz w:val="20"/>
                <w:szCs w:val="20"/>
              </w:rPr>
            </w:pPr>
            <w:r>
              <w:rPr>
                <w:b/>
                <w:bCs/>
                <w:color w:val="000000"/>
                <w:sz w:val="20"/>
                <w:szCs w:val="20"/>
              </w:rPr>
              <w:t>Scores</w:t>
            </w:r>
            <w:r>
              <w:rPr>
                <w:b/>
                <w:bCs/>
                <w:color w:val="000000"/>
                <w:sz w:val="20"/>
                <w:szCs w:val="20"/>
              </w:rPr>
              <w:br/>
              <w:t>(1/2/3)</w:t>
            </w:r>
          </w:p>
        </w:tc>
        <w:tc>
          <w:tcPr>
            <w:tcW w:w="749" w:type="dxa"/>
            <w:tcBorders>
              <w:top w:val="single" w:sz="12" w:space="0" w:color="auto"/>
              <w:left w:val="single" w:sz="8" w:space="0" w:color="auto"/>
              <w:bottom w:val="single" w:sz="12" w:space="0" w:color="auto"/>
              <w:right w:val="single" w:sz="8" w:space="0" w:color="auto"/>
            </w:tcBorders>
            <w:tcMar>
              <w:top w:w="0" w:type="dxa"/>
              <w:left w:w="108" w:type="dxa"/>
              <w:bottom w:w="0" w:type="dxa"/>
              <w:right w:w="108" w:type="dxa"/>
            </w:tcMar>
            <w:vAlign w:val="bottom"/>
            <w:hideMark/>
          </w:tcPr>
          <w:p w14:paraId="0AF972BA" w14:textId="77777777" w:rsidR="00332F6D" w:rsidRDefault="00332F6D" w:rsidP="00C65196">
            <w:pPr>
              <w:keepNext/>
              <w:spacing w:before="100" w:beforeAutospacing="1" w:after="100" w:afterAutospacing="1"/>
              <w:jc w:val="center"/>
              <w:rPr>
                <w:b/>
                <w:bCs/>
                <w:color w:val="000000"/>
                <w:sz w:val="20"/>
                <w:szCs w:val="20"/>
              </w:rPr>
            </w:pPr>
            <w:r>
              <w:rPr>
                <w:b/>
                <w:bCs/>
                <w:color w:val="000000"/>
                <w:sz w:val="20"/>
                <w:szCs w:val="20"/>
              </w:rPr>
              <w:t>Point?</w:t>
            </w:r>
          </w:p>
        </w:tc>
        <w:tc>
          <w:tcPr>
            <w:tcW w:w="3301" w:type="dxa"/>
            <w:tcBorders>
              <w:top w:val="single" w:sz="12" w:space="0" w:color="auto"/>
              <w:left w:val="nil"/>
              <w:bottom w:val="single" w:sz="12" w:space="0" w:color="auto"/>
              <w:right w:val="single" w:sz="12" w:space="0" w:color="auto"/>
            </w:tcBorders>
            <w:tcMar>
              <w:top w:w="0" w:type="dxa"/>
              <w:left w:w="108" w:type="dxa"/>
              <w:bottom w:w="0" w:type="dxa"/>
              <w:right w:w="108" w:type="dxa"/>
            </w:tcMar>
            <w:vAlign w:val="bottom"/>
            <w:hideMark/>
          </w:tcPr>
          <w:p w14:paraId="1EB2F003" w14:textId="77777777" w:rsidR="00332F6D" w:rsidRDefault="00332F6D" w:rsidP="00C65196">
            <w:pPr>
              <w:keepNext/>
              <w:spacing w:before="100" w:beforeAutospacing="1" w:after="100" w:afterAutospacing="1"/>
              <w:rPr>
                <w:b/>
                <w:bCs/>
                <w:color w:val="000000"/>
                <w:sz w:val="20"/>
                <w:szCs w:val="20"/>
              </w:rPr>
            </w:pPr>
            <w:r>
              <w:rPr>
                <w:b/>
                <w:bCs/>
                <w:color w:val="000000"/>
                <w:sz w:val="20"/>
                <w:szCs w:val="20"/>
              </w:rPr>
              <w:t>Status in Top 15</w:t>
            </w:r>
          </w:p>
        </w:tc>
      </w:tr>
      <w:tr w:rsidR="00AB3558" w14:paraId="7808E38A" w14:textId="77777777" w:rsidTr="0003281C">
        <w:tc>
          <w:tcPr>
            <w:tcW w:w="448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bottom"/>
          </w:tcPr>
          <w:p w14:paraId="29471E52" w14:textId="7E5EF5D1" w:rsidR="00AB3558" w:rsidRPr="00332F6D" w:rsidRDefault="00AB3558" w:rsidP="00AB3558">
            <w:pPr>
              <w:keepNext/>
              <w:spacing w:before="100" w:beforeAutospacing="1" w:after="100" w:afterAutospacing="1" w:line="240" w:lineRule="auto"/>
              <w:rPr>
                <w:sz w:val="20"/>
                <w:szCs w:val="20"/>
              </w:rPr>
            </w:pPr>
            <w:r w:rsidRPr="00332F6D">
              <w:rPr>
                <w:rFonts w:ascii="Calibri" w:hAnsi="Calibri" w:cs="Calibri"/>
                <w:sz w:val="20"/>
                <w:szCs w:val="20"/>
              </w:rPr>
              <w:t>EGUs</w:t>
            </w:r>
          </w:p>
        </w:tc>
        <w:tc>
          <w:tcPr>
            <w:tcW w:w="990" w:type="dxa"/>
            <w:tcBorders>
              <w:top w:val="single" w:sz="12" w:space="0" w:color="auto"/>
              <w:left w:val="nil"/>
              <w:bottom w:val="single" w:sz="8" w:space="0" w:color="auto"/>
              <w:right w:val="single" w:sz="8" w:space="0" w:color="auto"/>
            </w:tcBorders>
            <w:vAlign w:val="bottom"/>
          </w:tcPr>
          <w:p w14:paraId="2863098E" w14:textId="15A020A1"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(58/57/40)</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7A725749" w14:textId="4C937191" w:rsidR="00AB3558" w:rsidRDefault="00AB3558" w:rsidP="00AB3558">
            <w:pPr>
              <w:keepNext/>
              <w:spacing w:before="100" w:beforeAutospacing="1" w:after="100" w:afterAutospacing="1" w:line="240" w:lineRule="auto"/>
              <w:jc w:val="center"/>
              <w:rPr>
                <w:color w:val="000000"/>
                <w:sz w:val="20"/>
                <w:szCs w:val="20"/>
              </w:rPr>
            </w:pPr>
          </w:p>
        </w:tc>
        <w:tc>
          <w:tcPr>
            <w:tcW w:w="3301" w:type="dxa"/>
            <w:vMerge w:val="restart"/>
            <w:tcBorders>
              <w:top w:val="single" w:sz="12" w:space="0" w:color="auto"/>
              <w:left w:val="nil"/>
              <w:right w:val="single" w:sz="12" w:space="0" w:color="auto"/>
            </w:tcBorders>
            <w:tcMar>
              <w:top w:w="0" w:type="dxa"/>
              <w:left w:w="108" w:type="dxa"/>
              <w:bottom w:w="0" w:type="dxa"/>
              <w:right w:w="108" w:type="dxa"/>
            </w:tcMar>
            <w:vAlign w:val="center"/>
          </w:tcPr>
          <w:p w14:paraId="0F8B8F66" w14:textId="098F9964" w:rsidR="00AB3558" w:rsidRDefault="00AB3558" w:rsidP="00AB3558">
            <w:pPr>
              <w:keepNext/>
              <w:spacing w:before="100" w:beforeAutospacing="1" w:after="100" w:afterAutospacing="1" w:line="240" w:lineRule="auto"/>
              <w:rPr>
                <w:color w:val="000000"/>
                <w:sz w:val="20"/>
                <w:szCs w:val="20"/>
              </w:rPr>
            </w:pPr>
            <w:r>
              <w:rPr>
                <w:color w:val="000000"/>
                <w:sz w:val="20"/>
                <w:szCs w:val="20"/>
              </w:rPr>
              <w:t>Always on the list in Table 2 and all three scenarios here</w:t>
            </w:r>
          </w:p>
        </w:tc>
      </w:tr>
      <w:tr w:rsidR="00AB3558" w14:paraId="2AA8654A"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080E1AC6" w14:textId="1C095228" w:rsidR="00AB3558" w:rsidRPr="00332F6D" w:rsidRDefault="00AB3558" w:rsidP="00AB3558">
            <w:pPr>
              <w:keepNext/>
              <w:spacing w:before="100" w:beforeAutospacing="1" w:after="100" w:afterAutospacing="1" w:line="240" w:lineRule="auto"/>
              <w:rPr>
                <w:sz w:val="20"/>
                <w:szCs w:val="20"/>
              </w:rPr>
            </w:pPr>
            <w:r w:rsidRPr="00332F6D">
              <w:rPr>
                <w:rFonts w:ascii="Calibri" w:hAnsi="Calibri" w:cs="Calibri"/>
                <w:sz w:val="20"/>
                <w:szCs w:val="20"/>
              </w:rPr>
              <w:t>Fuel Comb - Residential - Wood</w:t>
            </w:r>
          </w:p>
        </w:tc>
        <w:tc>
          <w:tcPr>
            <w:tcW w:w="990" w:type="dxa"/>
            <w:tcBorders>
              <w:top w:val="nil"/>
              <w:left w:val="nil"/>
              <w:bottom w:val="single" w:sz="8" w:space="0" w:color="auto"/>
              <w:right w:val="single" w:sz="8" w:space="0" w:color="auto"/>
            </w:tcBorders>
            <w:vAlign w:val="bottom"/>
          </w:tcPr>
          <w:p w14:paraId="2025D84D" w14:textId="3B108BF1"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(41/30/14)</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6E7C88E" w14:textId="77777777"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6505CD78" w14:textId="77777777" w:rsidR="00AB3558" w:rsidRDefault="00AB3558" w:rsidP="00AB3558">
            <w:pPr>
              <w:keepNext/>
              <w:spacing w:before="100" w:beforeAutospacing="1" w:after="100" w:afterAutospacing="1" w:line="240" w:lineRule="auto"/>
              <w:rPr>
                <w:rFonts w:ascii="Calibri" w:hAnsi="Calibri" w:cs="Calibri"/>
                <w:color w:val="000000"/>
                <w:sz w:val="20"/>
                <w:szCs w:val="20"/>
              </w:rPr>
            </w:pPr>
          </w:p>
        </w:tc>
      </w:tr>
      <w:tr w:rsidR="00AB3558" w14:paraId="350DCC3B"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1942828E" w14:textId="3FA8978C" w:rsidR="00AB3558" w:rsidRPr="00332F6D" w:rsidRDefault="00AB3558" w:rsidP="002C346C">
            <w:pPr>
              <w:keepNext/>
              <w:spacing w:before="100" w:beforeAutospacing="1" w:after="100" w:afterAutospacing="1" w:line="240" w:lineRule="auto"/>
              <w:rPr>
                <w:sz w:val="20"/>
                <w:szCs w:val="20"/>
              </w:rPr>
            </w:pPr>
            <w:r w:rsidRPr="00332F6D">
              <w:rPr>
                <w:rFonts w:ascii="Calibri" w:hAnsi="Calibri" w:cs="Calibri"/>
                <w:sz w:val="20"/>
                <w:szCs w:val="20"/>
              </w:rPr>
              <w:t>Petrochemical Manufacturing</w:t>
            </w:r>
          </w:p>
        </w:tc>
        <w:tc>
          <w:tcPr>
            <w:tcW w:w="990" w:type="dxa"/>
            <w:tcBorders>
              <w:top w:val="nil"/>
              <w:left w:val="nil"/>
              <w:bottom w:val="single" w:sz="8" w:space="0" w:color="auto"/>
              <w:right w:val="single" w:sz="8" w:space="0" w:color="auto"/>
            </w:tcBorders>
          </w:tcPr>
          <w:p w14:paraId="27973DAE" w14:textId="517B105D" w:rsidR="00AB3558" w:rsidRPr="00AB3558" w:rsidRDefault="00AB3558" w:rsidP="00AB3558">
            <w:pPr>
              <w:spacing w:after="0"/>
              <w:jc w:val="center"/>
              <w:rPr>
                <w:color w:val="000000"/>
                <w:sz w:val="20"/>
                <w:szCs w:val="20"/>
              </w:rPr>
            </w:pPr>
            <w:r w:rsidRPr="00AB3558">
              <w:rPr>
                <w:rFonts w:ascii="Calibri" w:hAnsi="Calibri" w:cs="Calibri"/>
                <w:color w:val="000000"/>
                <w:sz w:val="20"/>
                <w:szCs w:val="20"/>
              </w:rPr>
              <w:t>(32/17/50</w:t>
            </w:r>
            <w:r w:rsidRPr="00AB3558">
              <w:rPr>
                <w:rFonts w:ascii="Calibri" w:hAnsi="Calibri" w:cs="Calibri"/>
                <w:color w:val="000000"/>
                <w:sz w:val="20"/>
                <w:szCs w:val="20"/>
              </w:rPr>
              <w:t>)</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026099C" w14:textId="0DC22F0A" w:rsidR="00AB3558" w:rsidRDefault="00AB3558" w:rsidP="002C346C">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7E4B97DC" w14:textId="77777777" w:rsidR="00AB3558" w:rsidRDefault="00AB3558" w:rsidP="002C346C">
            <w:pPr>
              <w:keepNext/>
              <w:spacing w:before="100" w:beforeAutospacing="1" w:after="100" w:afterAutospacing="1" w:line="240" w:lineRule="auto"/>
              <w:rPr>
                <w:rFonts w:ascii="Calibri" w:hAnsi="Calibri" w:cs="Calibri"/>
                <w:color w:val="000000"/>
                <w:sz w:val="20"/>
                <w:szCs w:val="20"/>
              </w:rPr>
            </w:pPr>
          </w:p>
        </w:tc>
      </w:tr>
      <w:tr w:rsidR="00AB3558" w14:paraId="2061898A"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6D60D044" w14:textId="41CABC10" w:rsidR="00AB3558" w:rsidRPr="00332F6D" w:rsidRDefault="00AB3558" w:rsidP="00AB3558">
            <w:pPr>
              <w:keepNext/>
              <w:spacing w:before="100" w:beforeAutospacing="1" w:after="100" w:afterAutospacing="1" w:line="240" w:lineRule="auto"/>
              <w:rPr>
                <w:sz w:val="20"/>
                <w:szCs w:val="20"/>
              </w:rPr>
            </w:pPr>
            <w:r w:rsidRPr="00332F6D">
              <w:rPr>
                <w:rFonts w:ascii="Calibri" w:hAnsi="Calibri" w:cs="Calibri"/>
                <w:sz w:val="20"/>
                <w:szCs w:val="20"/>
              </w:rPr>
              <w:t>Refineries</w:t>
            </w:r>
          </w:p>
        </w:tc>
        <w:tc>
          <w:tcPr>
            <w:tcW w:w="990" w:type="dxa"/>
            <w:tcBorders>
              <w:top w:val="nil"/>
              <w:left w:val="nil"/>
              <w:bottom w:val="single" w:sz="8" w:space="0" w:color="auto"/>
              <w:right w:val="single" w:sz="8" w:space="0" w:color="auto"/>
            </w:tcBorders>
            <w:vAlign w:val="bottom"/>
          </w:tcPr>
          <w:p w14:paraId="3622C2EE" w14:textId="636B4FA5"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(31/61/58)</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E9CF29C" w14:textId="79F10E3A"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161435D2" w14:textId="77777777" w:rsidR="00AB3558" w:rsidRDefault="00AB3558" w:rsidP="00AB3558">
            <w:pPr>
              <w:keepNext/>
              <w:spacing w:before="100" w:beforeAutospacing="1" w:after="100" w:afterAutospacing="1" w:line="240" w:lineRule="auto"/>
              <w:rPr>
                <w:rFonts w:ascii="Calibri" w:hAnsi="Calibri" w:cs="Calibri"/>
                <w:color w:val="000000"/>
                <w:sz w:val="20"/>
                <w:szCs w:val="20"/>
              </w:rPr>
            </w:pPr>
          </w:p>
        </w:tc>
      </w:tr>
      <w:tr w:rsidR="00AB3558" w14:paraId="2E09F288"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58E63B36" w14:textId="199D825D" w:rsidR="00AB3558" w:rsidRPr="00332F6D" w:rsidRDefault="00AB3558" w:rsidP="00AB3558">
            <w:pPr>
              <w:keepNext/>
              <w:spacing w:before="100" w:beforeAutospacing="1" w:after="100" w:afterAutospacing="1" w:line="240" w:lineRule="auto"/>
              <w:rPr>
                <w:sz w:val="20"/>
                <w:szCs w:val="20"/>
              </w:rPr>
            </w:pPr>
            <w:r w:rsidRPr="00332F6D">
              <w:rPr>
                <w:rFonts w:ascii="Calibri" w:hAnsi="Calibri" w:cs="Calibri"/>
                <w:sz w:val="20"/>
                <w:szCs w:val="20"/>
              </w:rPr>
              <w:t>Waste Disposal</w:t>
            </w:r>
          </w:p>
        </w:tc>
        <w:tc>
          <w:tcPr>
            <w:tcW w:w="990" w:type="dxa"/>
            <w:tcBorders>
              <w:top w:val="nil"/>
              <w:left w:val="nil"/>
              <w:bottom w:val="single" w:sz="8" w:space="0" w:color="auto"/>
              <w:right w:val="single" w:sz="8" w:space="0" w:color="auto"/>
            </w:tcBorders>
            <w:vAlign w:val="bottom"/>
          </w:tcPr>
          <w:p w14:paraId="137A7CC8" w14:textId="26DB656E"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(27/19/15)</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D11C94A" w14:textId="77777777"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0E640469" w14:textId="77777777" w:rsidR="00AB3558" w:rsidRDefault="00AB3558" w:rsidP="00AB3558">
            <w:pPr>
              <w:keepNext/>
              <w:spacing w:before="100" w:beforeAutospacing="1" w:after="100" w:afterAutospacing="1" w:line="240" w:lineRule="auto"/>
              <w:rPr>
                <w:rFonts w:ascii="Calibri" w:hAnsi="Calibri" w:cs="Calibri"/>
                <w:color w:val="000000"/>
                <w:sz w:val="20"/>
                <w:szCs w:val="20"/>
              </w:rPr>
            </w:pPr>
          </w:p>
        </w:tc>
      </w:tr>
      <w:tr w:rsidR="00AB3558" w14:paraId="1C3F5575"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tcPr>
          <w:p w14:paraId="4EAA22B2" w14:textId="4A9EE760" w:rsidR="00AB3558" w:rsidRPr="00332F6D" w:rsidRDefault="00AB3558" w:rsidP="002C346C">
            <w:pPr>
              <w:keepNext/>
              <w:spacing w:before="100" w:beforeAutospacing="1" w:after="100" w:afterAutospacing="1" w:line="240" w:lineRule="auto"/>
              <w:rPr>
                <w:sz w:val="20"/>
                <w:szCs w:val="20"/>
              </w:rPr>
            </w:pPr>
            <w:r w:rsidRPr="00332F6D">
              <w:rPr>
                <w:sz w:val="20"/>
                <w:szCs w:val="20"/>
              </w:rPr>
              <w:t>Oil &amp; Natural Gas</w:t>
            </w:r>
          </w:p>
        </w:tc>
        <w:tc>
          <w:tcPr>
            <w:tcW w:w="990" w:type="dxa"/>
            <w:tcBorders>
              <w:top w:val="nil"/>
              <w:left w:val="nil"/>
              <w:bottom w:val="single" w:sz="8" w:space="0" w:color="auto"/>
              <w:right w:val="single" w:sz="8" w:space="0" w:color="auto"/>
            </w:tcBorders>
          </w:tcPr>
          <w:p w14:paraId="7001F7F4" w14:textId="6D8631D8" w:rsidR="00AB3558" w:rsidRPr="00AB3558" w:rsidRDefault="00AB3558" w:rsidP="00AB3558">
            <w:pPr>
              <w:spacing w:after="0"/>
              <w:jc w:val="center"/>
              <w:rPr>
                <w:color w:val="000000"/>
                <w:sz w:val="20"/>
                <w:szCs w:val="20"/>
              </w:rPr>
            </w:pPr>
            <w:r w:rsidRPr="00AB3558">
              <w:rPr>
                <w:rFonts w:ascii="Calibri" w:hAnsi="Calibri" w:cs="Calibri"/>
                <w:color w:val="000000"/>
                <w:sz w:val="20"/>
                <w:szCs w:val="20"/>
              </w:rPr>
              <w:t>(22/40/17)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6923E0F" w14:textId="77777777" w:rsidR="00AB3558" w:rsidRDefault="00AB3558" w:rsidP="002C346C">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03638704" w14:textId="77777777" w:rsidR="00AB3558" w:rsidRDefault="00AB3558" w:rsidP="002C346C">
            <w:pPr>
              <w:keepNext/>
              <w:spacing w:before="100" w:beforeAutospacing="1" w:after="100" w:afterAutospacing="1" w:line="240" w:lineRule="auto"/>
              <w:rPr>
                <w:rFonts w:ascii="Calibri" w:hAnsi="Calibri" w:cs="Calibri"/>
                <w:color w:val="000000"/>
                <w:sz w:val="20"/>
                <w:szCs w:val="20"/>
              </w:rPr>
            </w:pPr>
          </w:p>
        </w:tc>
      </w:tr>
      <w:tr w:rsidR="00AB3558" w14:paraId="02AA94D3" w14:textId="77777777" w:rsidTr="0003281C">
        <w:tc>
          <w:tcPr>
            <w:tcW w:w="4485"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center"/>
          </w:tcPr>
          <w:p w14:paraId="4E4C2244" w14:textId="38BC825A" w:rsidR="00AB3558" w:rsidRPr="005103C6" w:rsidRDefault="00AB3558" w:rsidP="002C346C">
            <w:pPr>
              <w:spacing w:before="100" w:beforeAutospacing="1" w:after="100" w:afterAutospacing="1" w:line="240" w:lineRule="auto"/>
              <w:rPr>
                <w:sz w:val="20"/>
                <w:szCs w:val="20"/>
              </w:rPr>
            </w:pPr>
            <w:r>
              <w:rPr>
                <w:sz w:val="20"/>
                <w:szCs w:val="20"/>
              </w:rPr>
              <w:t>Other Point</w:t>
            </w:r>
          </w:p>
        </w:tc>
        <w:tc>
          <w:tcPr>
            <w:tcW w:w="990" w:type="dxa"/>
            <w:tcBorders>
              <w:top w:val="nil"/>
              <w:left w:val="nil"/>
              <w:bottom w:val="single" w:sz="12" w:space="0" w:color="auto"/>
              <w:right w:val="single" w:sz="8" w:space="0" w:color="auto"/>
            </w:tcBorders>
          </w:tcPr>
          <w:p w14:paraId="59CB5C99" w14:textId="50330E4C" w:rsidR="00AB3558" w:rsidRPr="00AB3558" w:rsidRDefault="00AB3558" w:rsidP="00AB3558">
            <w:pPr>
              <w:spacing w:after="0"/>
              <w:jc w:val="center"/>
              <w:rPr>
                <w:color w:val="000000"/>
                <w:sz w:val="20"/>
                <w:szCs w:val="20"/>
              </w:rPr>
            </w:pPr>
            <w:r w:rsidRPr="00AB3558">
              <w:rPr>
                <w:rFonts w:ascii="Calibri" w:hAnsi="Calibri" w:cs="Calibri"/>
                <w:color w:val="000000"/>
                <w:sz w:val="20"/>
                <w:szCs w:val="20"/>
              </w:rPr>
              <w:t>(17/17/19)</w:t>
            </w:r>
          </w:p>
        </w:tc>
        <w:tc>
          <w:tcPr>
            <w:tcW w:w="749"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bottom"/>
          </w:tcPr>
          <w:p w14:paraId="69AC47E0" w14:textId="77777777" w:rsidR="00AB3558" w:rsidRDefault="00AB3558" w:rsidP="002C346C">
            <w:pPr>
              <w:keepNext/>
              <w:spacing w:before="100" w:beforeAutospacing="1" w:after="100" w:afterAutospacing="1" w:line="240" w:lineRule="auto"/>
              <w:jc w:val="center"/>
              <w:rPr>
                <w:color w:val="000000"/>
                <w:sz w:val="20"/>
                <w:szCs w:val="20"/>
              </w:rPr>
            </w:pPr>
          </w:p>
        </w:tc>
        <w:tc>
          <w:tcPr>
            <w:tcW w:w="3301" w:type="dxa"/>
            <w:vMerge/>
            <w:tcBorders>
              <w:left w:val="nil"/>
              <w:bottom w:val="single" w:sz="12" w:space="0" w:color="auto"/>
              <w:right w:val="single" w:sz="12" w:space="0" w:color="auto"/>
            </w:tcBorders>
            <w:vAlign w:val="center"/>
          </w:tcPr>
          <w:p w14:paraId="114E449A" w14:textId="77777777" w:rsidR="00AB3558" w:rsidRDefault="00AB3558" w:rsidP="00AB3558">
            <w:pPr>
              <w:keepNext/>
              <w:spacing w:before="100" w:beforeAutospacing="1" w:after="100" w:afterAutospacing="1" w:line="240" w:lineRule="auto"/>
              <w:ind w:left="144"/>
              <w:rPr>
                <w:rFonts w:ascii="Calibri" w:hAnsi="Calibri" w:cs="Calibri"/>
                <w:color w:val="000000"/>
                <w:sz w:val="20"/>
                <w:szCs w:val="20"/>
              </w:rPr>
            </w:pPr>
          </w:p>
        </w:tc>
      </w:tr>
      <w:tr w:rsidR="00AB3558" w14:paraId="08147581" w14:textId="77777777" w:rsidTr="0003281C">
        <w:tc>
          <w:tcPr>
            <w:tcW w:w="448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tcPr>
          <w:p w14:paraId="1E4C097A" w14:textId="700B0575" w:rsidR="00AB3558" w:rsidRDefault="00AB3558" w:rsidP="00AB3558">
            <w:pPr>
              <w:keepNext/>
              <w:spacing w:before="100" w:beforeAutospacing="1" w:after="100" w:afterAutospacing="1" w:line="240" w:lineRule="auto"/>
              <w:rPr>
                <w:sz w:val="20"/>
                <w:szCs w:val="20"/>
              </w:rPr>
            </w:pPr>
            <w:r w:rsidRPr="00332F6D">
              <w:rPr>
                <w:rFonts w:ascii="Calibri" w:hAnsi="Calibri" w:cs="Calibri"/>
                <w:sz w:val="20"/>
                <w:szCs w:val="20"/>
              </w:rPr>
              <w:t>Industrial Processes - Oil &amp; Gas Production</w:t>
            </w:r>
          </w:p>
        </w:tc>
        <w:tc>
          <w:tcPr>
            <w:tcW w:w="990" w:type="dxa"/>
            <w:tcBorders>
              <w:top w:val="single" w:sz="12" w:space="0" w:color="auto"/>
              <w:left w:val="nil"/>
              <w:bottom w:val="single" w:sz="8" w:space="0" w:color="auto"/>
              <w:right w:val="single" w:sz="8" w:space="0" w:color="auto"/>
            </w:tcBorders>
          </w:tcPr>
          <w:p w14:paraId="66144ECE" w14:textId="368DC728" w:rsidR="00AB3558" w:rsidRPr="00AB3558" w:rsidRDefault="00AB3558" w:rsidP="00AB3558">
            <w:pPr>
              <w:keepNext/>
              <w:spacing w:before="100" w:beforeAutospacing="1" w:after="100" w:afterAutospacing="1" w:line="240" w:lineRule="auto"/>
              <w:jc w:val="center"/>
              <w:rPr>
                <w:color w:val="000000"/>
                <w:sz w:val="20"/>
                <w:szCs w:val="20"/>
              </w:rPr>
            </w:pPr>
            <w:r w:rsidRPr="00AB3558">
              <w:rPr>
                <w:color w:val="000000"/>
                <w:sz w:val="20"/>
                <w:szCs w:val="20"/>
              </w:rPr>
              <w:t>(34/37/33)</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34202B99" w14:textId="77777777" w:rsidR="00AB3558" w:rsidRDefault="00AB3558" w:rsidP="00AB3558">
            <w:pPr>
              <w:keepNext/>
              <w:spacing w:before="100" w:beforeAutospacing="1" w:after="100" w:afterAutospacing="1" w:line="240" w:lineRule="auto"/>
              <w:jc w:val="center"/>
              <w:rPr>
                <w:color w:val="000000"/>
                <w:sz w:val="20"/>
                <w:szCs w:val="20"/>
              </w:rPr>
            </w:pPr>
          </w:p>
        </w:tc>
        <w:tc>
          <w:tcPr>
            <w:tcW w:w="3301" w:type="dxa"/>
            <w:vMerge w:val="restart"/>
            <w:tcBorders>
              <w:top w:val="single" w:sz="12" w:space="0" w:color="auto"/>
              <w:left w:val="nil"/>
              <w:right w:val="single" w:sz="12" w:space="0" w:color="auto"/>
            </w:tcBorders>
            <w:vAlign w:val="center"/>
          </w:tcPr>
          <w:p w14:paraId="51356299" w14:textId="53368E4C" w:rsidR="00AB3558" w:rsidRDefault="00AB3558" w:rsidP="00AB3558">
            <w:pPr>
              <w:keepNext/>
              <w:spacing w:before="100" w:beforeAutospacing="1" w:after="100" w:afterAutospacing="1" w:line="240" w:lineRule="auto"/>
              <w:ind w:left="144"/>
              <w:rPr>
                <w:rFonts w:ascii="Calibri" w:hAnsi="Calibri" w:cs="Calibri"/>
                <w:color w:val="000000"/>
                <w:sz w:val="20"/>
                <w:szCs w:val="20"/>
              </w:rPr>
            </w:pPr>
            <w:r>
              <w:rPr>
                <w:rFonts w:ascii="Calibri" w:hAnsi="Calibri" w:cs="Calibri"/>
                <w:color w:val="000000"/>
                <w:sz w:val="20"/>
                <w:szCs w:val="20"/>
              </w:rPr>
              <w:t>Added for all three scenarios (but not included in Table 2)</w:t>
            </w:r>
          </w:p>
        </w:tc>
      </w:tr>
      <w:tr w:rsidR="00AB3558" w14:paraId="777071A1"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42A07035" w14:textId="2692C810" w:rsidR="00AB3558" w:rsidRDefault="00513A3A" w:rsidP="00AB3558">
            <w:pPr>
              <w:keepNext/>
              <w:spacing w:before="100" w:beforeAutospacing="1" w:after="100" w:afterAutospacing="1" w:line="240" w:lineRule="auto"/>
              <w:rPr>
                <w:sz w:val="20"/>
                <w:szCs w:val="20"/>
              </w:rPr>
            </w:pPr>
            <w:r w:rsidRPr="000872A1">
              <w:rPr>
                <w:rFonts w:ascii="Calibri" w:hAnsi="Calibri" w:cs="Calibri"/>
                <w:color w:val="000000"/>
                <w:sz w:val="20"/>
                <w:szCs w:val="20"/>
              </w:rPr>
              <w:t xml:space="preserve">Other </w:t>
            </w:r>
            <w:r>
              <w:rPr>
                <w:rFonts w:ascii="Calibri" w:hAnsi="Calibri" w:cs="Calibri"/>
                <w:color w:val="000000"/>
                <w:sz w:val="20"/>
                <w:szCs w:val="20"/>
              </w:rPr>
              <w:t>M</w:t>
            </w:r>
            <w:r w:rsidRPr="000872A1">
              <w:rPr>
                <w:rFonts w:ascii="Calibri" w:hAnsi="Calibri" w:cs="Calibri"/>
                <w:color w:val="000000"/>
                <w:sz w:val="20"/>
                <w:szCs w:val="20"/>
              </w:rPr>
              <w:t>etal</w:t>
            </w:r>
            <w:r>
              <w:rPr>
                <w:rFonts w:ascii="Calibri" w:hAnsi="Calibri" w:cs="Calibri"/>
                <w:color w:val="000000"/>
                <w:sz w:val="20"/>
                <w:szCs w:val="20"/>
              </w:rPr>
              <w:t xml:space="preserve"> Manufacturing</w:t>
            </w:r>
          </w:p>
        </w:tc>
        <w:tc>
          <w:tcPr>
            <w:tcW w:w="990" w:type="dxa"/>
            <w:tcBorders>
              <w:top w:val="nil"/>
              <w:left w:val="nil"/>
              <w:bottom w:val="single" w:sz="8" w:space="0" w:color="auto"/>
              <w:right w:val="single" w:sz="8" w:space="0" w:color="auto"/>
            </w:tcBorders>
            <w:vAlign w:val="bottom"/>
          </w:tcPr>
          <w:p w14:paraId="1FFD74A7" w14:textId="027B74F1"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(12/10/10)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970E483" w14:textId="77777777"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5AFB581F" w14:textId="77777777" w:rsidR="00AB3558" w:rsidRDefault="00AB3558" w:rsidP="00AB3558">
            <w:pPr>
              <w:keepNext/>
              <w:spacing w:before="100" w:beforeAutospacing="1" w:after="100" w:afterAutospacing="1" w:line="240" w:lineRule="auto"/>
              <w:ind w:left="144"/>
              <w:rPr>
                <w:rFonts w:ascii="Calibri" w:hAnsi="Calibri" w:cs="Calibri"/>
                <w:color w:val="000000"/>
                <w:sz w:val="20"/>
                <w:szCs w:val="20"/>
              </w:rPr>
            </w:pPr>
          </w:p>
        </w:tc>
      </w:tr>
      <w:tr w:rsidR="00AB3558" w14:paraId="34D628B3"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tcPr>
          <w:p w14:paraId="0686DE34" w14:textId="53AD67BD" w:rsidR="00AB3558" w:rsidRDefault="00AB3558" w:rsidP="00AB3558">
            <w:pPr>
              <w:spacing w:before="100" w:beforeAutospacing="1" w:after="100" w:afterAutospacing="1" w:line="240" w:lineRule="auto"/>
              <w:rPr>
                <w:sz w:val="20"/>
                <w:szCs w:val="20"/>
              </w:rPr>
            </w:pPr>
            <w:r>
              <w:rPr>
                <w:sz w:val="20"/>
                <w:szCs w:val="20"/>
              </w:rPr>
              <w:t>Pulp and Paper</w:t>
            </w:r>
          </w:p>
        </w:tc>
        <w:tc>
          <w:tcPr>
            <w:tcW w:w="990" w:type="dxa"/>
            <w:tcBorders>
              <w:top w:val="nil"/>
              <w:left w:val="nil"/>
              <w:bottom w:val="single" w:sz="8" w:space="0" w:color="auto"/>
              <w:right w:val="single" w:sz="8" w:space="0" w:color="auto"/>
            </w:tcBorders>
            <w:vAlign w:val="bottom"/>
          </w:tcPr>
          <w:p w14:paraId="7F071B39" w14:textId="5541ECA2"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(12/16/29)</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EAC4B99" w14:textId="77777777"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42DD0A05" w14:textId="77777777" w:rsidR="00AB3558" w:rsidRDefault="00AB3558" w:rsidP="00AB3558">
            <w:pPr>
              <w:keepNext/>
              <w:spacing w:before="100" w:beforeAutospacing="1" w:after="100" w:afterAutospacing="1" w:line="240" w:lineRule="auto"/>
              <w:ind w:left="144"/>
              <w:rPr>
                <w:rFonts w:ascii="Calibri" w:hAnsi="Calibri" w:cs="Calibri"/>
                <w:color w:val="000000"/>
                <w:sz w:val="20"/>
                <w:szCs w:val="20"/>
              </w:rPr>
            </w:pPr>
          </w:p>
        </w:tc>
      </w:tr>
      <w:tr w:rsidR="00AB3558" w14:paraId="7568818F" w14:textId="77777777" w:rsidTr="0003281C">
        <w:tc>
          <w:tcPr>
            <w:tcW w:w="448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tcPr>
          <w:p w14:paraId="284F0293" w14:textId="691B661C" w:rsidR="00AB3558" w:rsidRPr="00AB3558" w:rsidRDefault="00AB3558" w:rsidP="00AB3558">
            <w:pPr>
              <w:keepNext/>
              <w:spacing w:before="100" w:beforeAutospacing="1" w:after="100" w:afterAutospacing="1" w:line="240" w:lineRule="auto"/>
              <w:rPr>
                <w:sz w:val="20"/>
                <w:szCs w:val="20"/>
              </w:rPr>
            </w:pPr>
            <w:r w:rsidRPr="00AB3558">
              <w:rPr>
                <w:sz w:val="20"/>
                <w:szCs w:val="20"/>
              </w:rPr>
              <w:t>Other Petroleum and Coal Products Manufacturing</w:t>
            </w:r>
          </w:p>
        </w:tc>
        <w:tc>
          <w:tcPr>
            <w:tcW w:w="990" w:type="dxa"/>
            <w:tcBorders>
              <w:top w:val="single" w:sz="12" w:space="0" w:color="auto"/>
              <w:left w:val="single" w:sz="8" w:space="0" w:color="auto"/>
              <w:bottom w:val="single" w:sz="8" w:space="0" w:color="auto"/>
              <w:right w:val="single" w:sz="8" w:space="0" w:color="auto"/>
            </w:tcBorders>
            <w:vAlign w:val="bottom"/>
          </w:tcPr>
          <w:p w14:paraId="7A22947F" w14:textId="2AA407C3"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(32/24/10)</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1BA7B6D6" w14:textId="46D31ADB" w:rsidR="00AB3558" w:rsidRDefault="00AB3558" w:rsidP="00AB3558">
            <w:pPr>
              <w:keepNext/>
              <w:spacing w:before="100" w:beforeAutospacing="1" w:after="100" w:afterAutospacing="1" w:line="240" w:lineRule="auto"/>
              <w:jc w:val="center"/>
              <w:rPr>
                <w:color w:val="000000"/>
                <w:sz w:val="20"/>
                <w:szCs w:val="20"/>
              </w:rPr>
            </w:pPr>
          </w:p>
        </w:tc>
        <w:tc>
          <w:tcPr>
            <w:tcW w:w="3301" w:type="dxa"/>
            <w:vMerge w:val="restart"/>
            <w:tcBorders>
              <w:top w:val="single" w:sz="12" w:space="0" w:color="auto"/>
              <w:left w:val="nil"/>
              <w:right w:val="single" w:sz="12" w:space="0" w:color="auto"/>
            </w:tcBorders>
            <w:tcMar>
              <w:top w:w="0" w:type="dxa"/>
              <w:left w:w="108" w:type="dxa"/>
              <w:bottom w:w="0" w:type="dxa"/>
              <w:right w:w="108" w:type="dxa"/>
            </w:tcMar>
            <w:vAlign w:val="center"/>
          </w:tcPr>
          <w:p w14:paraId="0C1DFC66" w14:textId="7325333B" w:rsidR="00AB3558" w:rsidRDefault="00AB3558" w:rsidP="00AB3558">
            <w:pPr>
              <w:keepNext/>
              <w:spacing w:before="100" w:beforeAutospacing="1" w:after="100" w:afterAutospacing="1" w:line="240" w:lineRule="auto"/>
              <w:rPr>
                <w:color w:val="000000"/>
                <w:sz w:val="20"/>
                <w:szCs w:val="20"/>
              </w:rPr>
            </w:pPr>
            <w:r>
              <w:rPr>
                <w:color w:val="000000"/>
                <w:sz w:val="20"/>
                <w:szCs w:val="20"/>
              </w:rPr>
              <w:t>Included in Scenario 1 (Select counties with PM mortality &gt; 10/10,000)</w:t>
            </w:r>
          </w:p>
        </w:tc>
      </w:tr>
      <w:tr w:rsidR="00AB3558" w14:paraId="5DFC3CD0" w14:textId="77777777" w:rsidTr="0003281C">
        <w:tc>
          <w:tcPr>
            <w:tcW w:w="448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bottom"/>
          </w:tcPr>
          <w:p w14:paraId="453F471B" w14:textId="4F213F39" w:rsidR="00AB3558" w:rsidRPr="00AB3558" w:rsidRDefault="00AB3558" w:rsidP="00AB3558">
            <w:pPr>
              <w:keepNext/>
              <w:spacing w:before="100" w:beforeAutospacing="1" w:after="100" w:afterAutospacing="1" w:line="240" w:lineRule="auto"/>
              <w:rPr>
                <w:sz w:val="20"/>
                <w:szCs w:val="20"/>
              </w:rPr>
            </w:pPr>
            <w:r w:rsidRPr="00AB3558">
              <w:rPr>
                <w:rFonts w:ascii="Calibri" w:hAnsi="Calibri" w:cs="Calibri"/>
                <w:sz w:val="20"/>
                <w:szCs w:val="20"/>
              </w:rPr>
              <w:t>Sawmills</w:t>
            </w:r>
          </w:p>
        </w:tc>
        <w:tc>
          <w:tcPr>
            <w:tcW w:w="990" w:type="dxa"/>
            <w:tcBorders>
              <w:top w:val="single" w:sz="8" w:space="0" w:color="auto"/>
              <w:left w:val="single" w:sz="8" w:space="0" w:color="auto"/>
              <w:bottom w:val="single" w:sz="8" w:space="0" w:color="auto"/>
              <w:right w:val="single" w:sz="8" w:space="0" w:color="auto"/>
            </w:tcBorders>
            <w:vAlign w:val="bottom"/>
          </w:tcPr>
          <w:p w14:paraId="2797AFE6" w14:textId="71CA858D"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(26/0/12)</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0143E346" w14:textId="642A8E35"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tcMar>
              <w:top w:w="0" w:type="dxa"/>
              <w:left w:w="108" w:type="dxa"/>
              <w:bottom w:w="0" w:type="dxa"/>
              <w:right w:w="108" w:type="dxa"/>
            </w:tcMar>
            <w:vAlign w:val="center"/>
          </w:tcPr>
          <w:p w14:paraId="2472AA4E" w14:textId="77777777" w:rsidR="00AB3558" w:rsidRDefault="00AB3558" w:rsidP="00AB3558">
            <w:pPr>
              <w:keepNext/>
              <w:spacing w:before="100" w:beforeAutospacing="1" w:after="100" w:afterAutospacing="1" w:line="240" w:lineRule="auto"/>
              <w:rPr>
                <w:color w:val="000000"/>
                <w:sz w:val="20"/>
                <w:szCs w:val="20"/>
              </w:rPr>
            </w:pPr>
          </w:p>
        </w:tc>
      </w:tr>
      <w:tr w:rsidR="00AB3558" w14:paraId="1CA93E17" w14:textId="77777777" w:rsidTr="0003281C">
        <w:tc>
          <w:tcPr>
            <w:tcW w:w="448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bottom"/>
          </w:tcPr>
          <w:p w14:paraId="30B5F209" w14:textId="49834021" w:rsidR="00AB3558" w:rsidRPr="00AB3558" w:rsidRDefault="00AB3558" w:rsidP="00AB3558">
            <w:pPr>
              <w:keepNext/>
              <w:spacing w:after="0"/>
              <w:rPr>
                <w:rFonts w:ascii="Calibri" w:hAnsi="Calibri" w:cs="Calibri"/>
                <w:sz w:val="20"/>
                <w:szCs w:val="20"/>
              </w:rPr>
            </w:pPr>
            <w:r w:rsidRPr="00AB3558">
              <w:rPr>
                <w:rFonts w:ascii="Calibri" w:hAnsi="Calibri" w:cs="Calibri"/>
                <w:sz w:val="20"/>
                <w:szCs w:val="20"/>
              </w:rPr>
              <w:t>Agriculture - Crops &amp; Livestock Dust</w:t>
            </w:r>
          </w:p>
        </w:tc>
        <w:tc>
          <w:tcPr>
            <w:tcW w:w="990" w:type="dxa"/>
            <w:tcBorders>
              <w:top w:val="single" w:sz="8" w:space="0" w:color="auto"/>
              <w:left w:val="single" w:sz="8" w:space="0" w:color="auto"/>
              <w:bottom w:val="single" w:sz="8" w:space="0" w:color="auto"/>
              <w:right w:val="single" w:sz="8" w:space="0" w:color="auto"/>
            </w:tcBorders>
            <w:vAlign w:val="bottom"/>
          </w:tcPr>
          <w:p w14:paraId="4F1305CE" w14:textId="01725788"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(23/23/8)</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27D29511" w14:textId="6DF842EF"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tcMar>
              <w:top w:w="0" w:type="dxa"/>
              <w:left w:w="108" w:type="dxa"/>
              <w:bottom w:w="0" w:type="dxa"/>
              <w:right w:w="108" w:type="dxa"/>
            </w:tcMar>
            <w:vAlign w:val="center"/>
          </w:tcPr>
          <w:p w14:paraId="54AD6FDC" w14:textId="77777777" w:rsidR="00AB3558" w:rsidRDefault="00AB3558" w:rsidP="00AB3558">
            <w:pPr>
              <w:keepNext/>
              <w:spacing w:before="100" w:beforeAutospacing="1" w:after="100" w:afterAutospacing="1" w:line="240" w:lineRule="auto"/>
              <w:rPr>
                <w:color w:val="000000"/>
                <w:sz w:val="20"/>
                <w:szCs w:val="20"/>
              </w:rPr>
            </w:pPr>
          </w:p>
        </w:tc>
      </w:tr>
      <w:tr w:rsidR="00AB3558" w14:paraId="338087E9" w14:textId="77777777" w:rsidTr="0003281C">
        <w:tc>
          <w:tcPr>
            <w:tcW w:w="448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23BFB2CD" w14:textId="7BF9B69F" w:rsidR="00AB3558" w:rsidRPr="00AB3558" w:rsidRDefault="00AB3558" w:rsidP="00AB3558">
            <w:pPr>
              <w:keepNext/>
              <w:spacing w:after="0"/>
              <w:rPr>
                <w:rFonts w:ascii="Calibri" w:hAnsi="Calibri" w:cs="Calibri"/>
                <w:sz w:val="20"/>
                <w:szCs w:val="20"/>
              </w:rPr>
            </w:pPr>
            <w:r w:rsidRPr="00AB3558">
              <w:rPr>
                <w:rFonts w:ascii="Calibri" w:hAnsi="Calibri" w:cs="Calibri"/>
                <w:sz w:val="20"/>
                <w:szCs w:val="20"/>
              </w:rPr>
              <w:t>Oil &amp; natural gas transmissions</w:t>
            </w:r>
          </w:p>
        </w:tc>
        <w:tc>
          <w:tcPr>
            <w:tcW w:w="990" w:type="dxa"/>
            <w:tcBorders>
              <w:top w:val="single" w:sz="8" w:space="0" w:color="auto"/>
              <w:left w:val="single" w:sz="8" w:space="0" w:color="auto"/>
              <w:bottom w:val="single" w:sz="8" w:space="0" w:color="auto"/>
              <w:right w:val="single" w:sz="8" w:space="0" w:color="auto"/>
            </w:tcBorders>
            <w:vAlign w:val="bottom"/>
          </w:tcPr>
          <w:p w14:paraId="0C3B3007" w14:textId="1A949FB3"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(21/18/4)</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55AE2FF1" w14:textId="0F2C8E36"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tcMar>
              <w:top w:w="0" w:type="dxa"/>
              <w:left w:w="108" w:type="dxa"/>
              <w:bottom w:w="0" w:type="dxa"/>
              <w:right w:w="108" w:type="dxa"/>
            </w:tcMar>
            <w:vAlign w:val="center"/>
          </w:tcPr>
          <w:p w14:paraId="1672219F" w14:textId="77777777" w:rsidR="00AB3558" w:rsidRDefault="00AB3558" w:rsidP="00AB3558">
            <w:pPr>
              <w:keepNext/>
              <w:spacing w:before="100" w:beforeAutospacing="1" w:after="100" w:afterAutospacing="1" w:line="240" w:lineRule="auto"/>
              <w:rPr>
                <w:color w:val="000000"/>
                <w:sz w:val="20"/>
                <w:szCs w:val="20"/>
              </w:rPr>
            </w:pPr>
          </w:p>
        </w:tc>
      </w:tr>
      <w:tr w:rsidR="00AB3558" w14:paraId="267BFBE5" w14:textId="77777777" w:rsidTr="0003281C">
        <w:tc>
          <w:tcPr>
            <w:tcW w:w="448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64EAC37E" w14:textId="520EF8FF" w:rsidR="00AB3558" w:rsidRPr="00AB3558" w:rsidRDefault="00AB3558" w:rsidP="00AB3558">
            <w:pPr>
              <w:keepNext/>
              <w:spacing w:before="100" w:beforeAutospacing="1" w:after="100" w:afterAutospacing="1" w:line="240" w:lineRule="auto"/>
              <w:rPr>
                <w:sz w:val="20"/>
                <w:szCs w:val="20"/>
              </w:rPr>
            </w:pPr>
            <w:r w:rsidRPr="00AB3558">
              <w:rPr>
                <w:sz w:val="20"/>
                <w:szCs w:val="20"/>
              </w:rPr>
              <w:t>Dust - Unpaved Road Dust</w:t>
            </w:r>
          </w:p>
        </w:tc>
        <w:tc>
          <w:tcPr>
            <w:tcW w:w="990" w:type="dxa"/>
            <w:tcBorders>
              <w:top w:val="single" w:sz="8" w:space="0" w:color="auto"/>
              <w:left w:val="single" w:sz="8" w:space="0" w:color="auto"/>
              <w:bottom w:val="single" w:sz="8" w:space="0" w:color="auto"/>
              <w:right w:val="single" w:sz="8" w:space="0" w:color="auto"/>
            </w:tcBorders>
            <w:vAlign w:val="bottom"/>
          </w:tcPr>
          <w:p w14:paraId="1D5AAE6A" w14:textId="52BF5EB5"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(14/12/9)</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3AE1D2BA" w14:textId="691F3189"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tcMar>
              <w:top w:w="0" w:type="dxa"/>
              <w:left w:w="108" w:type="dxa"/>
              <w:bottom w:w="0" w:type="dxa"/>
              <w:right w:w="108" w:type="dxa"/>
            </w:tcMar>
            <w:vAlign w:val="center"/>
          </w:tcPr>
          <w:p w14:paraId="045E0895" w14:textId="77777777" w:rsidR="00AB3558" w:rsidRDefault="00AB3558" w:rsidP="00AB3558">
            <w:pPr>
              <w:keepNext/>
              <w:spacing w:before="100" w:beforeAutospacing="1" w:after="100" w:afterAutospacing="1" w:line="240" w:lineRule="auto"/>
              <w:rPr>
                <w:color w:val="000000"/>
                <w:sz w:val="20"/>
                <w:szCs w:val="20"/>
              </w:rPr>
            </w:pPr>
          </w:p>
        </w:tc>
      </w:tr>
      <w:tr w:rsidR="00AB3558" w14:paraId="0834C1EC" w14:textId="77777777" w:rsidTr="0003281C">
        <w:tc>
          <w:tcPr>
            <w:tcW w:w="4485"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vAlign w:val="center"/>
          </w:tcPr>
          <w:p w14:paraId="7D7B49C4" w14:textId="070499C7" w:rsidR="00AB3558" w:rsidRPr="00AB3558" w:rsidRDefault="00AB3558" w:rsidP="00AB3558">
            <w:pPr>
              <w:spacing w:before="100" w:beforeAutospacing="1" w:after="100" w:afterAutospacing="1" w:line="240" w:lineRule="auto"/>
              <w:rPr>
                <w:sz w:val="20"/>
                <w:szCs w:val="20"/>
              </w:rPr>
            </w:pPr>
            <w:r w:rsidRPr="00AB3558">
              <w:rPr>
                <w:sz w:val="20"/>
                <w:szCs w:val="20"/>
              </w:rPr>
              <w:t>Fuel Comb - Industrial Boilers, ICEs - Biomass</w:t>
            </w:r>
          </w:p>
        </w:tc>
        <w:tc>
          <w:tcPr>
            <w:tcW w:w="990" w:type="dxa"/>
            <w:tcBorders>
              <w:top w:val="single" w:sz="8" w:space="0" w:color="auto"/>
              <w:left w:val="single" w:sz="8" w:space="0" w:color="auto"/>
              <w:bottom w:val="single" w:sz="12" w:space="0" w:color="auto"/>
              <w:right w:val="single" w:sz="8" w:space="0" w:color="auto"/>
            </w:tcBorders>
            <w:vAlign w:val="bottom"/>
          </w:tcPr>
          <w:p w14:paraId="7DC9F2A3" w14:textId="12A13271" w:rsidR="00AB3558" w:rsidRPr="00AB3558" w:rsidRDefault="00AB3558" w:rsidP="00AB3558">
            <w:pPr>
              <w:keepNext/>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(12/0/20)</w:t>
            </w:r>
          </w:p>
        </w:tc>
        <w:tc>
          <w:tcPr>
            <w:tcW w:w="749" w:type="dxa"/>
            <w:tcBorders>
              <w:top w:val="single" w:sz="8" w:space="0" w:color="auto"/>
              <w:left w:val="single" w:sz="8" w:space="0" w:color="auto"/>
              <w:bottom w:val="single" w:sz="12" w:space="0" w:color="auto"/>
              <w:right w:val="single" w:sz="8" w:space="0" w:color="auto"/>
            </w:tcBorders>
            <w:tcMar>
              <w:top w:w="0" w:type="dxa"/>
              <w:left w:w="108" w:type="dxa"/>
              <w:bottom w:w="0" w:type="dxa"/>
              <w:right w:w="108" w:type="dxa"/>
            </w:tcMar>
            <w:vAlign w:val="bottom"/>
          </w:tcPr>
          <w:p w14:paraId="476E62F5" w14:textId="407AE077" w:rsidR="00AB3558" w:rsidRDefault="00AB3558" w:rsidP="00AB3558">
            <w:pPr>
              <w:keepNext/>
              <w:spacing w:before="100" w:beforeAutospacing="1" w:after="100" w:afterAutospacing="1" w:line="240" w:lineRule="auto"/>
              <w:jc w:val="center"/>
              <w:rPr>
                <w:color w:val="000000"/>
                <w:sz w:val="20"/>
                <w:szCs w:val="20"/>
              </w:rPr>
            </w:pPr>
          </w:p>
        </w:tc>
        <w:tc>
          <w:tcPr>
            <w:tcW w:w="3301" w:type="dxa"/>
            <w:vMerge/>
            <w:tcBorders>
              <w:left w:val="nil"/>
              <w:bottom w:val="single" w:sz="12" w:space="0" w:color="auto"/>
              <w:right w:val="single" w:sz="12" w:space="0" w:color="auto"/>
            </w:tcBorders>
            <w:tcMar>
              <w:top w:w="0" w:type="dxa"/>
              <w:left w:w="108" w:type="dxa"/>
              <w:bottom w:w="0" w:type="dxa"/>
              <w:right w:w="108" w:type="dxa"/>
            </w:tcMar>
            <w:vAlign w:val="center"/>
          </w:tcPr>
          <w:p w14:paraId="70D721B3" w14:textId="77777777" w:rsidR="00AB3558" w:rsidRDefault="00AB3558" w:rsidP="00AB3558">
            <w:pPr>
              <w:keepNext/>
              <w:spacing w:before="100" w:beforeAutospacing="1" w:after="100" w:afterAutospacing="1" w:line="240" w:lineRule="auto"/>
              <w:rPr>
                <w:color w:val="000000"/>
                <w:sz w:val="20"/>
                <w:szCs w:val="20"/>
              </w:rPr>
            </w:pPr>
          </w:p>
        </w:tc>
      </w:tr>
      <w:tr w:rsidR="00AB3558" w14:paraId="1A8703C8"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6B0031CE" w14:textId="38E37255" w:rsidR="00AB3558" w:rsidRPr="005103C6" w:rsidRDefault="0003281C" w:rsidP="00AB3558">
            <w:pPr>
              <w:keepNext/>
              <w:spacing w:before="100" w:beforeAutospacing="1" w:after="100" w:afterAutospacing="1" w:line="240" w:lineRule="auto"/>
              <w:rPr>
                <w:sz w:val="20"/>
                <w:szCs w:val="20"/>
              </w:rPr>
            </w:pPr>
            <w:r w:rsidRPr="0003281C">
              <w:rPr>
                <w:sz w:val="20"/>
                <w:szCs w:val="20"/>
              </w:rPr>
              <w:t>Reconstituted Wood Product Manufacturing</w:t>
            </w:r>
          </w:p>
        </w:tc>
        <w:tc>
          <w:tcPr>
            <w:tcW w:w="990" w:type="dxa"/>
            <w:tcBorders>
              <w:top w:val="nil"/>
              <w:left w:val="nil"/>
              <w:bottom w:val="single" w:sz="8" w:space="0" w:color="auto"/>
              <w:right w:val="single" w:sz="8" w:space="0" w:color="auto"/>
            </w:tcBorders>
          </w:tcPr>
          <w:p w14:paraId="01839916" w14:textId="1AC23E18" w:rsidR="00AB3558" w:rsidRDefault="0003281C" w:rsidP="00AB3558">
            <w:pPr>
              <w:spacing w:before="100" w:beforeAutospacing="1" w:after="100" w:afterAutospacing="1" w:line="240" w:lineRule="auto"/>
              <w:jc w:val="center"/>
              <w:rPr>
                <w:color w:val="000000"/>
                <w:sz w:val="20"/>
                <w:szCs w:val="20"/>
              </w:rPr>
            </w:pPr>
            <w:r w:rsidRPr="0003281C">
              <w:rPr>
                <w:color w:val="000000"/>
                <w:sz w:val="20"/>
                <w:szCs w:val="20"/>
              </w:rPr>
              <w:t>(2/29/0)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0948E2D" w14:textId="309A298D" w:rsidR="00AB3558" w:rsidRDefault="00AB3558" w:rsidP="00AB3558">
            <w:pPr>
              <w:spacing w:before="100" w:beforeAutospacing="1" w:after="100" w:afterAutospacing="1" w:line="240" w:lineRule="auto"/>
              <w:jc w:val="center"/>
              <w:rPr>
                <w:color w:val="000000"/>
                <w:sz w:val="20"/>
                <w:szCs w:val="20"/>
              </w:rPr>
            </w:pPr>
          </w:p>
        </w:tc>
        <w:tc>
          <w:tcPr>
            <w:tcW w:w="3301" w:type="dxa"/>
            <w:vMerge w:val="restart"/>
            <w:tcBorders>
              <w:top w:val="nil"/>
              <w:left w:val="nil"/>
              <w:right w:val="single" w:sz="12" w:space="0" w:color="auto"/>
            </w:tcBorders>
            <w:tcMar>
              <w:top w:w="0" w:type="dxa"/>
              <w:left w:w="108" w:type="dxa"/>
              <w:bottom w:w="0" w:type="dxa"/>
              <w:right w:w="108" w:type="dxa"/>
            </w:tcMar>
            <w:vAlign w:val="center"/>
          </w:tcPr>
          <w:p w14:paraId="4E1F1C21" w14:textId="752B5C03" w:rsidR="00AB3558" w:rsidRDefault="00AB3558" w:rsidP="00AB3558">
            <w:pPr>
              <w:spacing w:before="100" w:beforeAutospacing="1" w:after="100" w:afterAutospacing="1" w:line="240" w:lineRule="auto"/>
              <w:rPr>
                <w:color w:val="000000"/>
                <w:sz w:val="20"/>
                <w:szCs w:val="20"/>
              </w:rPr>
            </w:pPr>
            <w:r>
              <w:rPr>
                <w:color w:val="000000"/>
                <w:sz w:val="20"/>
                <w:szCs w:val="20"/>
              </w:rPr>
              <w:t>Included in Scenario 2 (Select counties with Ozone mortality &gt; 1/10,000)</w:t>
            </w:r>
          </w:p>
        </w:tc>
      </w:tr>
      <w:tr w:rsidR="0003281C" w14:paraId="6F6E2F88" w14:textId="77777777" w:rsidTr="0003281C">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tcPr>
          <w:p w14:paraId="48A8CD19" w14:textId="3B3CCD9A" w:rsidR="0003281C" w:rsidRPr="005103C6" w:rsidRDefault="0003281C" w:rsidP="0003281C">
            <w:pPr>
              <w:keepNext/>
              <w:spacing w:before="100" w:beforeAutospacing="1" w:after="100" w:afterAutospacing="1" w:line="240" w:lineRule="auto"/>
              <w:rPr>
                <w:sz w:val="20"/>
                <w:szCs w:val="20"/>
              </w:rPr>
            </w:pPr>
            <w:r w:rsidRPr="00AB3558">
              <w:rPr>
                <w:sz w:val="20"/>
                <w:szCs w:val="20"/>
              </w:rPr>
              <w:t>Other Petroleum and Coal Products Manufacturing</w:t>
            </w:r>
          </w:p>
        </w:tc>
        <w:tc>
          <w:tcPr>
            <w:tcW w:w="990" w:type="dxa"/>
            <w:tcBorders>
              <w:top w:val="nil"/>
              <w:left w:val="nil"/>
              <w:bottom w:val="single" w:sz="8" w:space="0" w:color="auto"/>
              <w:right w:val="single" w:sz="8" w:space="0" w:color="auto"/>
            </w:tcBorders>
            <w:vAlign w:val="bottom"/>
          </w:tcPr>
          <w:p w14:paraId="0ED10FD4" w14:textId="26A86823" w:rsidR="0003281C" w:rsidRDefault="0003281C" w:rsidP="0003281C">
            <w:pPr>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(32/24/10)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558E008" w14:textId="0ADE4A9C" w:rsidR="0003281C" w:rsidRDefault="0003281C" w:rsidP="0003281C">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tcMar>
              <w:top w:w="0" w:type="dxa"/>
              <w:left w:w="108" w:type="dxa"/>
              <w:bottom w:w="0" w:type="dxa"/>
              <w:right w:w="108" w:type="dxa"/>
            </w:tcMar>
            <w:vAlign w:val="center"/>
          </w:tcPr>
          <w:p w14:paraId="3D97463C" w14:textId="77777777" w:rsidR="0003281C" w:rsidRDefault="0003281C" w:rsidP="0003281C">
            <w:pPr>
              <w:spacing w:before="100" w:beforeAutospacing="1" w:after="100" w:afterAutospacing="1" w:line="240" w:lineRule="auto"/>
              <w:rPr>
                <w:color w:val="000000"/>
                <w:sz w:val="20"/>
                <w:szCs w:val="20"/>
              </w:rPr>
            </w:pPr>
          </w:p>
        </w:tc>
      </w:tr>
      <w:tr w:rsidR="0003281C" w14:paraId="3D1BC19A" w14:textId="77777777" w:rsidTr="00BB7DFE">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71225609" w14:textId="50BB8D89" w:rsidR="0003281C" w:rsidRPr="005103C6" w:rsidRDefault="0003281C" w:rsidP="0003281C">
            <w:pPr>
              <w:keepNext/>
              <w:spacing w:before="100" w:beforeAutospacing="1" w:after="100" w:afterAutospacing="1" w:line="240" w:lineRule="auto"/>
              <w:rPr>
                <w:sz w:val="20"/>
                <w:szCs w:val="20"/>
              </w:rPr>
            </w:pPr>
            <w:r w:rsidRPr="00AB3558">
              <w:rPr>
                <w:rFonts w:ascii="Calibri" w:hAnsi="Calibri" w:cs="Calibri"/>
                <w:sz w:val="20"/>
                <w:szCs w:val="20"/>
              </w:rPr>
              <w:t>Agriculture - Crops &amp; Livestock Dust</w:t>
            </w:r>
          </w:p>
        </w:tc>
        <w:tc>
          <w:tcPr>
            <w:tcW w:w="990" w:type="dxa"/>
            <w:tcBorders>
              <w:top w:val="nil"/>
              <w:left w:val="nil"/>
              <w:bottom w:val="single" w:sz="8" w:space="0" w:color="auto"/>
              <w:right w:val="single" w:sz="8" w:space="0" w:color="auto"/>
            </w:tcBorders>
            <w:vAlign w:val="bottom"/>
          </w:tcPr>
          <w:p w14:paraId="4D4B8B2F" w14:textId="46319E0E" w:rsidR="0003281C" w:rsidRDefault="0003281C" w:rsidP="0003281C">
            <w:pPr>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(23/23/8)</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62763E9" w14:textId="3ED98F88" w:rsidR="0003281C" w:rsidRDefault="0003281C" w:rsidP="0003281C">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tcMar>
              <w:top w:w="0" w:type="dxa"/>
              <w:left w:w="108" w:type="dxa"/>
              <w:bottom w:w="0" w:type="dxa"/>
              <w:right w:w="108" w:type="dxa"/>
            </w:tcMar>
            <w:vAlign w:val="center"/>
          </w:tcPr>
          <w:p w14:paraId="1030D9AF" w14:textId="77777777" w:rsidR="0003281C" w:rsidRDefault="0003281C" w:rsidP="0003281C">
            <w:pPr>
              <w:spacing w:before="100" w:beforeAutospacing="1" w:after="100" w:afterAutospacing="1" w:line="240" w:lineRule="auto"/>
              <w:rPr>
                <w:color w:val="000000"/>
                <w:sz w:val="20"/>
                <w:szCs w:val="20"/>
              </w:rPr>
            </w:pPr>
          </w:p>
        </w:tc>
      </w:tr>
      <w:tr w:rsidR="0003281C" w14:paraId="4046FF7E" w14:textId="77777777" w:rsidTr="00293B03">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tcPr>
          <w:p w14:paraId="6CDEFF2B" w14:textId="2A6AF0DF" w:rsidR="0003281C" w:rsidRPr="005103C6" w:rsidRDefault="0003281C" w:rsidP="0003281C">
            <w:pPr>
              <w:keepNext/>
              <w:spacing w:before="100" w:beforeAutospacing="1" w:after="100" w:afterAutospacing="1" w:line="240" w:lineRule="auto"/>
              <w:rPr>
                <w:sz w:val="20"/>
                <w:szCs w:val="20"/>
              </w:rPr>
            </w:pPr>
            <w:r w:rsidRPr="00AB3558">
              <w:rPr>
                <w:rFonts w:ascii="Calibri" w:hAnsi="Calibri" w:cs="Calibri"/>
                <w:sz w:val="20"/>
                <w:szCs w:val="20"/>
              </w:rPr>
              <w:t>Oil &amp; natural gas transmissions</w:t>
            </w:r>
          </w:p>
        </w:tc>
        <w:tc>
          <w:tcPr>
            <w:tcW w:w="990" w:type="dxa"/>
            <w:tcBorders>
              <w:top w:val="nil"/>
              <w:left w:val="nil"/>
              <w:bottom w:val="single" w:sz="8" w:space="0" w:color="auto"/>
              <w:right w:val="single" w:sz="8" w:space="0" w:color="auto"/>
            </w:tcBorders>
            <w:vAlign w:val="bottom"/>
          </w:tcPr>
          <w:p w14:paraId="41F006BD" w14:textId="63A77406" w:rsidR="0003281C" w:rsidRDefault="0003281C" w:rsidP="0003281C">
            <w:pPr>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(21/18/4)</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03F4CB7" w14:textId="66E72659" w:rsidR="0003281C" w:rsidRDefault="0003281C" w:rsidP="0003281C">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076EC9F9" w14:textId="77777777" w:rsidR="0003281C" w:rsidRDefault="0003281C" w:rsidP="0003281C">
            <w:pPr>
              <w:spacing w:before="100" w:beforeAutospacing="1" w:after="100" w:afterAutospacing="1" w:line="240" w:lineRule="auto"/>
              <w:rPr>
                <w:rFonts w:ascii="Calibri" w:hAnsi="Calibri" w:cs="Calibri"/>
                <w:color w:val="000000"/>
                <w:sz w:val="20"/>
                <w:szCs w:val="20"/>
              </w:rPr>
            </w:pPr>
          </w:p>
        </w:tc>
      </w:tr>
      <w:tr w:rsidR="0003281C" w14:paraId="171239F3" w14:textId="77777777" w:rsidTr="000E5EBE">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tcPr>
          <w:p w14:paraId="7EC45ACA" w14:textId="6CB009E4" w:rsidR="0003281C" w:rsidRPr="005103C6" w:rsidRDefault="0003281C" w:rsidP="0003281C">
            <w:pPr>
              <w:keepNext/>
              <w:spacing w:before="100" w:beforeAutospacing="1" w:after="100" w:afterAutospacing="1" w:line="240" w:lineRule="auto"/>
              <w:rPr>
                <w:sz w:val="20"/>
                <w:szCs w:val="20"/>
              </w:rPr>
            </w:pPr>
            <w:r w:rsidRPr="00AB3558">
              <w:rPr>
                <w:sz w:val="20"/>
                <w:szCs w:val="20"/>
              </w:rPr>
              <w:t>Dust - Unpaved Road Dust</w:t>
            </w:r>
          </w:p>
        </w:tc>
        <w:tc>
          <w:tcPr>
            <w:tcW w:w="990" w:type="dxa"/>
            <w:tcBorders>
              <w:top w:val="nil"/>
              <w:left w:val="nil"/>
              <w:bottom w:val="single" w:sz="8" w:space="0" w:color="auto"/>
              <w:right w:val="single" w:sz="8" w:space="0" w:color="auto"/>
            </w:tcBorders>
            <w:vAlign w:val="bottom"/>
          </w:tcPr>
          <w:p w14:paraId="4DDBE54D" w14:textId="3878532F" w:rsidR="0003281C" w:rsidRDefault="0003281C" w:rsidP="0003281C">
            <w:pPr>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(14/12/9)</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7F8A6CC" w14:textId="3159EF77" w:rsidR="0003281C" w:rsidRDefault="0003281C" w:rsidP="0003281C">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6923A232" w14:textId="77777777" w:rsidR="0003281C" w:rsidRDefault="0003281C" w:rsidP="0003281C">
            <w:pPr>
              <w:spacing w:before="100" w:beforeAutospacing="1" w:after="100" w:afterAutospacing="1" w:line="240" w:lineRule="auto"/>
              <w:rPr>
                <w:rFonts w:ascii="Calibri" w:hAnsi="Calibri" w:cs="Calibri"/>
                <w:color w:val="000000"/>
                <w:sz w:val="20"/>
                <w:szCs w:val="20"/>
              </w:rPr>
            </w:pPr>
          </w:p>
        </w:tc>
      </w:tr>
      <w:tr w:rsidR="0003281C" w14:paraId="7A70B388" w14:textId="77777777" w:rsidTr="007F4367">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tcPr>
          <w:p w14:paraId="6FE35284" w14:textId="6F8C53A8" w:rsidR="0003281C" w:rsidRPr="00AB3558" w:rsidRDefault="0003281C" w:rsidP="0003281C">
            <w:pPr>
              <w:keepNext/>
              <w:spacing w:before="100" w:beforeAutospacing="1" w:after="100" w:afterAutospacing="1" w:line="240" w:lineRule="auto"/>
              <w:rPr>
                <w:sz w:val="20"/>
                <w:szCs w:val="20"/>
              </w:rPr>
            </w:pPr>
            <w:r>
              <w:rPr>
                <w:sz w:val="20"/>
                <w:szCs w:val="20"/>
              </w:rPr>
              <w:t>Waste Combustion &amp; Treatment</w:t>
            </w:r>
          </w:p>
        </w:tc>
        <w:tc>
          <w:tcPr>
            <w:tcW w:w="990" w:type="dxa"/>
            <w:tcBorders>
              <w:top w:val="nil"/>
              <w:left w:val="nil"/>
              <w:bottom w:val="single" w:sz="8" w:space="0" w:color="auto"/>
              <w:right w:val="single" w:sz="8" w:space="0" w:color="auto"/>
            </w:tcBorders>
          </w:tcPr>
          <w:p w14:paraId="7EE181AB" w14:textId="11A5CDA7" w:rsidR="0003281C" w:rsidRPr="0003281C" w:rsidRDefault="0003281C" w:rsidP="0003281C">
            <w:pPr>
              <w:spacing w:before="100" w:beforeAutospacing="1" w:after="100" w:afterAutospacing="1" w:line="240" w:lineRule="auto"/>
              <w:jc w:val="center"/>
              <w:rPr>
                <w:rFonts w:ascii="Calibri" w:hAnsi="Calibri" w:cs="Calibri"/>
                <w:color w:val="000000"/>
                <w:sz w:val="20"/>
                <w:szCs w:val="20"/>
              </w:rPr>
            </w:pPr>
            <w:r w:rsidRPr="0003281C">
              <w:rPr>
                <w:sz w:val="20"/>
                <w:szCs w:val="20"/>
              </w:rPr>
              <w:t>(10/10/10)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C3876BB" w14:textId="77777777" w:rsidR="0003281C" w:rsidRDefault="0003281C" w:rsidP="0003281C">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0D2FB649" w14:textId="77777777" w:rsidR="0003281C" w:rsidRDefault="0003281C" w:rsidP="0003281C">
            <w:pPr>
              <w:spacing w:before="100" w:beforeAutospacing="1" w:after="100" w:afterAutospacing="1" w:line="240" w:lineRule="auto"/>
              <w:rPr>
                <w:rFonts w:ascii="Calibri" w:hAnsi="Calibri" w:cs="Calibri"/>
                <w:color w:val="000000"/>
                <w:sz w:val="20"/>
                <w:szCs w:val="20"/>
              </w:rPr>
            </w:pPr>
          </w:p>
        </w:tc>
      </w:tr>
      <w:tr w:rsidR="0003281C" w14:paraId="2584CD91" w14:textId="77777777" w:rsidTr="007F4367">
        <w:tc>
          <w:tcPr>
            <w:tcW w:w="448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tcPr>
          <w:p w14:paraId="470C9A65" w14:textId="5CBAA4C5" w:rsidR="0003281C" w:rsidRPr="00AB3558" w:rsidRDefault="0003281C" w:rsidP="0003281C">
            <w:pPr>
              <w:keepNext/>
              <w:spacing w:before="100" w:beforeAutospacing="1" w:after="100" w:afterAutospacing="1" w:line="240" w:lineRule="auto"/>
              <w:rPr>
                <w:sz w:val="20"/>
                <w:szCs w:val="20"/>
              </w:rPr>
            </w:pPr>
            <w:r>
              <w:rPr>
                <w:sz w:val="20"/>
                <w:szCs w:val="20"/>
              </w:rPr>
              <w:t>Landfill</w:t>
            </w:r>
          </w:p>
        </w:tc>
        <w:tc>
          <w:tcPr>
            <w:tcW w:w="990" w:type="dxa"/>
            <w:tcBorders>
              <w:top w:val="nil"/>
              <w:left w:val="nil"/>
              <w:bottom w:val="single" w:sz="8" w:space="0" w:color="auto"/>
              <w:right w:val="single" w:sz="8" w:space="0" w:color="auto"/>
            </w:tcBorders>
          </w:tcPr>
          <w:p w14:paraId="498BEC0F" w14:textId="20CF46B4" w:rsidR="0003281C" w:rsidRPr="0003281C" w:rsidRDefault="0003281C" w:rsidP="0003281C">
            <w:pPr>
              <w:spacing w:before="100" w:beforeAutospacing="1" w:after="100" w:afterAutospacing="1" w:line="240" w:lineRule="auto"/>
              <w:jc w:val="center"/>
              <w:rPr>
                <w:rFonts w:ascii="Calibri" w:hAnsi="Calibri" w:cs="Calibri"/>
                <w:color w:val="000000"/>
                <w:sz w:val="20"/>
                <w:szCs w:val="20"/>
              </w:rPr>
            </w:pPr>
            <w:r w:rsidRPr="0003281C">
              <w:rPr>
                <w:sz w:val="20"/>
                <w:szCs w:val="20"/>
              </w:rPr>
              <w:t>(10/10/10)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7EBCD59" w14:textId="77777777" w:rsidR="0003281C" w:rsidRDefault="0003281C" w:rsidP="0003281C">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4C319743" w14:textId="77777777" w:rsidR="0003281C" w:rsidRDefault="0003281C" w:rsidP="0003281C">
            <w:pPr>
              <w:spacing w:before="100" w:beforeAutospacing="1" w:after="100" w:afterAutospacing="1" w:line="240" w:lineRule="auto"/>
              <w:rPr>
                <w:rFonts w:ascii="Calibri" w:hAnsi="Calibri" w:cs="Calibri"/>
                <w:color w:val="000000"/>
                <w:sz w:val="20"/>
                <w:szCs w:val="20"/>
              </w:rPr>
            </w:pPr>
          </w:p>
        </w:tc>
      </w:tr>
      <w:tr w:rsidR="0003281C" w14:paraId="4DF2B003" w14:textId="77777777" w:rsidTr="00220256">
        <w:tc>
          <w:tcPr>
            <w:tcW w:w="4485"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bottom"/>
          </w:tcPr>
          <w:p w14:paraId="3145D454" w14:textId="48EBFB5B" w:rsidR="0003281C" w:rsidRPr="005103C6" w:rsidRDefault="0003281C" w:rsidP="0003281C">
            <w:pPr>
              <w:spacing w:before="100" w:beforeAutospacing="1" w:after="100" w:afterAutospacing="1" w:line="240" w:lineRule="auto"/>
              <w:rPr>
                <w:sz w:val="20"/>
                <w:szCs w:val="20"/>
              </w:rPr>
            </w:pPr>
            <w:r>
              <w:rPr>
                <w:sz w:val="20"/>
                <w:szCs w:val="20"/>
              </w:rPr>
              <w:t>Other primary metal</w:t>
            </w:r>
          </w:p>
        </w:tc>
        <w:tc>
          <w:tcPr>
            <w:tcW w:w="990" w:type="dxa"/>
            <w:tcBorders>
              <w:top w:val="nil"/>
              <w:left w:val="nil"/>
              <w:bottom w:val="single" w:sz="12" w:space="0" w:color="auto"/>
              <w:right w:val="single" w:sz="8" w:space="0" w:color="auto"/>
            </w:tcBorders>
            <w:vAlign w:val="bottom"/>
          </w:tcPr>
          <w:p w14:paraId="5EEF6511" w14:textId="2016B50B" w:rsidR="0003281C" w:rsidRDefault="0003281C" w:rsidP="0003281C">
            <w:pPr>
              <w:spacing w:before="100" w:beforeAutospacing="1" w:after="100" w:afterAutospacing="1" w:line="240" w:lineRule="auto"/>
              <w:jc w:val="center"/>
              <w:rPr>
                <w:color w:val="000000"/>
                <w:sz w:val="20"/>
                <w:szCs w:val="20"/>
              </w:rPr>
            </w:pPr>
            <w:r w:rsidRPr="00AB3558">
              <w:rPr>
                <w:rFonts w:ascii="Calibri" w:hAnsi="Calibri" w:cs="Calibri"/>
                <w:color w:val="000000"/>
                <w:sz w:val="20"/>
                <w:szCs w:val="20"/>
              </w:rPr>
              <w:t>(12/10/10)</w:t>
            </w:r>
          </w:p>
        </w:tc>
        <w:tc>
          <w:tcPr>
            <w:tcW w:w="749"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bottom"/>
          </w:tcPr>
          <w:p w14:paraId="2105331D" w14:textId="30C9301B" w:rsidR="0003281C" w:rsidRDefault="0003281C" w:rsidP="0003281C">
            <w:pPr>
              <w:spacing w:before="100" w:beforeAutospacing="1" w:after="100" w:afterAutospacing="1" w:line="240" w:lineRule="auto"/>
              <w:jc w:val="center"/>
              <w:rPr>
                <w:color w:val="000000"/>
                <w:sz w:val="20"/>
                <w:szCs w:val="20"/>
              </w:rPr>
            </w:pPr>
          </w:p>
        </w:tc>
        <w:tc>
          <w:tcPr>
            <w:tcW w:w="3301" w:type="dxa"/>
            <w:vMerge/>
            <w:tcBorders>
              <w:left w:val="nil"/>
              <w:bottom w:val="single" w:sz="12" w:space="0" w:color="auto"/>
              <w:right w:val="single" w:sz="12" w:space="0" w:color="auto"/>
            </w:tcBorders>
            <w:vAlign w:val="center"/>
          </w:tcPr>
          <w:p w14:paraId="5F86B5A0" w14:textId="77777777" w:rsidR="0003281C" w:rsidRDefault="0003281C" w:rsidP="0003281C">
            <w:pPr>
              <w:spacing w:before="100" w:beforeAutospacing="1" w:after="100" w:afterAutospacing="1" w:line="240" w:lineRule="auto"/>
              <w:rPr>
                <w:rFonts w:ascii="Calibri" w:hAnsi="Calibri" w:cs="Calibri"/>
                <w:color w:val="000000"/>
                <w:sz w:val="20"/>
                <w:szCs w:val="20"/>
              </w:rPr>
            </w:pPr>
          </w:p>
        </w:tc>
      </w:tr>
      <w:tr w:rsidR="00550184" w14:paraId="17F86EAF" w14:textId="77777777" w:rsidTr="00FE2151">
        <w:tc>
          <w:tcPr>
            <w:tcW w:w="448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tcPr>
          <w:p w14:paraId="72574AB7" w14:textId="517DC711" w:rsidR="00550184" w:rsidRPr="00550184" w:rsidRDefault="00550184" w:rsidP="00550184">
            <w:pPr>
              <w:keepNext/>
              <w:spacing w:before="100" w:beforeAutospacing="1" w:after="100" w:afterAutospacing="1" w:line="240" w:lineRule="auto"/>
              <w:rPr>
                <w:rFonts w:ascii="Calibri" w:hAnsi="Calibri" w:cs="Calibri"/>
                <w:sz w:val="20"/>
                <w:szCs w:val="20"/>
              </w:rPr>
            </w:pPr>
            <w:r w:rsidRPr="00550184">
              <w:rPr>
                <w:sz w:val="20"/>
                <w:szCs w:val="20"/>
              </w:rPr>
              <w:t>Fertilizer Manufacturing</w:t>
            </w:r>
          </w:p>
        </w:tc>
        <w:tc>
          <w:tcPr>
            <w:tcW w:w="990" w:type="dxa"/>
            <w:tcBorders>
              <w:top w:val="single" w:sz="12" w:space="0" w:color="auto"/>
              <w:left w:val="nil"/>
              <w:bottom w:val="single" w:sz="8" w:space="0" w:color="auto"/>
              <w:right w:val="single" w:sz="8" w:space="0" w:color="auto"/>
            </w:tcBorders>
          </w:tcPr>
          <w:p w14:paraId="19DA3057" w14:textId="1947EEFA" w:rsidR="00550184" w:rsidRPr="00550184" w:rsidRDefault="00550184" w:rsidP="00550184">
            <w:pPr>
              <w:spacing w:before="100" w:beforeAutospacing="1" w:after="100" w:afterAutospacing="1" w:line="240" w:lineRule="auto"/>
              <w:jc w:val="center"/>
              <w:rPr>
                <w:color w:val="000000"/>
                <w:sz w:val="20"/>
                <w:szCs w:val="20"/>
              </w:rPr>
            </w:pPr>
            <w:r w:rsidRPr="00550184">
              <w:rPr>
                <w:sz w:val="20"/>
                <w:szCs w:val="20"/>
              </w:rPr>
              <w:t>(3/3/51)</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627D35C5" w14:textId="04876A6D" w:rsidR="00550184" w:rsidRDefault="00550184" w:rsidP="00550184">
            <w:pPr>
              <w:spacing w:before="100" w:beforeAutospacing="1" w:after="100" w:afterAutospacing="1" w:line="240" w:lineRule="auto"/>
              <w:jc w:val="center"/>
              <w:rPr>
                <w:color w:val="000000"/>
                <w:sz w:val="20"/>
                <w:szCs w:val="20"/>
              </w:rPr>
            </w:pPr>
          </w:p>
        </w:tc>
        <w:tc>
          <w:tcPr>
            <w:tcW w:w="3301" w:type="dxa"/>
            <w:vMerge w:val="restart"/>
            <w:tcBorders>
              <w:top w:val="single" w:sz="12" w:space="0" w:color="auto"/>
              <w:left w:val="nil"/>
              <w:right w:val="single" w:sz="12" w:space="0" w:color="auto"/>
            </w:tcBorders>
            <w:vAlign w:val="center"/>
          </w:tcPr>
          <w:p w14:paraId="7884C14C" w14:textId="1B75C96A" w:rsidR="00550184" w:rsidRDefault="00550184" w:rsidP="00550184">
            <w:pPr>
              <w:spacing w:before="100" w:beforeAutospacing="1" w:after="100" w:afterAutospacing="1" w:line="240" w:lineRule="auto"/>
              <w:ind w:left="156"/>
              <w:rPr>
                <w:rFonts w:ascii="Calibri" w:hAnsi="Calibri" w:cs="Calibri"/>
                <w:color w:val="000000"/>
                <w:sz w:val="20"/>
                <w:szCs w:val="20"/>
              </w:rPr>
            </w:pPr>
            <w:r>
              <w:rPr>
                <w:rFonts w:ascii="Calibri" w:hAnsi="Calibri" w:cs="Calibri"/>
                <w:color w:val="000000"/>
                <w:sz w:val="20"/>
                <w:szCs w:val="20"/>
              </w:rPr>
              <w:t>Included in Scenario 3 (Select counties with HAP risk &gt; 50/million)</w:t>
            </w:r>
          </w:p>
        </w:tc>
      </w:tr>
      <w:tr w:rsidR="00550184" w14:paraId="00598D95" w14:textId="77777777" w:rsidTr="00FE2151">
        <w:tc>
          <w:tcPr>
            <w:tcW w:w="448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tcPr>
          <w:p w14:paraId="30BADC9B" w14:textId="614AA985" w:rsidR="00550184" w:rsidRPr="00550184" w:rsidRDefault="00550184" w:rsidP="00550184">
            <w:pPr>
              <w:keepNext/>
              <w:spacing w:before="100" w:beforeAutospacing="1" w:after="100" w:afterAutospacing="1" w:line="240" w:lineRule="auto"/>
              <w:rPr>
                <w:rFonts w:ascii="Calibri" w:hAnsi="Calibri" w:cs="Calibri"/>
                <w:sz w:val="20"/>
                <w:szCs w:val="20"/>
              </w:rPr>
            </w:pPr>
            <w:r w:rsidRPr="00550184">
              <w:rPr>
                <w:sz w:val="20"/>
                <w:szCs w:val="20"/>
              </w:rPr>
              <w:t>Synthetic Organic Chemical Industry</w:t>
            </w:r>
          </w:p>
        </w:tc>
        <w:tc>
          <w:tcPr>
            <w:tcW w:w="990" w:type="dxa"/>
            <w:tcBorders>
              <w:top w:val="single" w:sz="8" w:space="0" w:color="auto"/>
              <w:left w:val="nil"/>
              <w:bottom w:val="single" w:sz="8" w:space="0" w:color="auto"/>
              <w:right w:val="single" w:sz="8" w:space="0" w:color="auto"/>
            </w:tcBorders>
          </w:tcPr>
          <w:p w14:paraId="0BAE0685" w14:textId="77A7A0D1" w:rsidR="00550184" w:rsidRPr="00550184" w:rsidRDefault="00550184" w:rsidP="00550184">
            <w:pPr>
              <w:spacing w:before="100" w:beforeAutospacing="1" w:after="100" w:afterAutospacing="1" w:line="240" w:lineRule="auto"/>
              <w:jc w:val="center"/>
              <w:rPr>
                <w:color w:val="000000"/>
                <w:sz w:val="20"/>
                <w:szCs w:val="20"/>
              </w:rPr>
            </w:pPr>
            <w:r w:rsidRPr="00550184">
              <w:rPr>
                <w:sz w:val="20"/>
                <w:szCs w:val="20"/>
              </w:rPr>
              <w:t>(6/9/37)</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2E3CD87C" w14:textId="067722DD" w:rsidR="00550184" w:rsidRDefault="00550184" w:rsidP="00550184">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6F49E16A" w14:textId="77777777" w:rsidR="00550184" w:rsidRDefault="00550184" w:rsidP="00550184">
            <w:pPr>
              <w:spacing w:before="100" w:beforeAutospacing="1" w:after="100" w:afterAutospacing="1" w:line="240" w:lineRule="auto"/>
              <w:ind w:left="156"/>
              <w:rPr>
                <w:rFonts w:ascii="Calibri" w:hAnsi="Calibri" w:cs="Calibri"/>
                <w:color w:val="000000"/>
                <w:sz w:val="20"/>
                <w:szCs w:val="20"/>
              </w:rPr>
            </w:pPr>
          </w:p>
        </w:tc>
      </w:tr>
      <w:tr w:rsidR="00550184" w14:paraId="7B6B899A" w14:textId="77777777" w:rsidTr="00FE2151">
        <w:tc>
          <w:tcPr>
            <w:tcW w:w="448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tcPr>
          <w:p w14:paraId="06993A2A" w14:textId="08564510" w:rsidR="00550184" w:rsidRPr="00550184" w:rsidRDefault="00550184" w:rsidP="00550184">
            <w:pPr>
              <w:keepNext/>
              <w:spacing w:before="100" w:beforeAutospacing="1" w:after="100" w:afterAutospacing="1" w:line="240" w:lineRule="auto"/>
              <w:rPr>
                <w:rFonts w:ascii="Calibri" w:hAnsi="Calibri" w:cs="Calibri"/>
                <w:sz w:val="20"/>
                <w:szCs w:val="20"/>
              </w:rPr>
            </w:pPr>
            <w:r w:rsidRPr="00550184">
              <w:rPr>
                <w:sz w:val="20"/>
                <w:szCs w:val="20"/>
              </w:rPr>
              <w:t>Fuel Comb - Industrial Boilers, ICEs - Biomass</w:t>
            </w:r>
          </w:p>
        </w:tc>
        <w:tc>
          <w:tcPr>
            <w:tcW w:w="990" w:type="dxa"/>
            <w:tcBorders>
              <w:top w:val="single" w:sz="8" w:space="0" w:color="auto"/>
              <w:left w:val="nil"/>
              <w:bottom w:val="single" w:sz="8" w:space="0" w:color="auto"/>
              <w:right w:val="single" w:sz="8" w:space="0" w:color="auto"/>
            </w:tcBorders>
          </w:tcPr>
          <w:p w14:paraId="3F59171B" w14:textId="74D1745F" w:rsidR="00550184" w:rsidRPr="00550184" w:rsidRDefault="00550184" w:rsidP="00550184">
            <w:pPr>
              <w:spacing w:before="100" w:beforeAutospacing="1" w:after="100" w:afterAutospacing="1" w:line="240" w:lineRule="auto"/>
              <w:jc w:val="center"/>
              <w:rPr>
                <w:color w:val="000000"/>
                <w:sz w:val="20"/>
                <w:szCs w:val="20"/>
              </w:rPr>
            </w:pPr>
            <w:r w:rsidRPr="00550184">
              <w:rPr>
                <w:sz w:val="20"/>
                <w:szCs w:val="20"/>
              </w:rPr>
              <w:t>(12/0/20)</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57D83159" w14:textId="191CCC3E" w:rsidR="00550184" w:rsidRDefault="00550184" w:rsidP="00550184">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1BEA026B" w14:textId="77777777" w:rsidR="00550184" w:rsidRDefault="00550184" w:rsidP="00550184">
            <w:pPr>
              <w:spacing w:before="100" w:beforeAutospacing="1" w:after="100" w:afterAutospacing="1" w:line="240" w:lineRule="auto"/>
              <w:ind w:left="156"/>
              <w:rPr>
                <w:rFonts w:ascii="Calibri" w:hAnsi="Calibri" w:cs="Calibri"/>
                <w:color w:val="000000"/>
                <w:sz w:val="20"/>
                <w:szCs w:val="20"/>
              </w:rPr>
            </w:pPr>
          </w:p>
        </w:tc>
      </w:tr>
      <w:tr w:rsidR="00550184" w14:paraId="46355C8F" w14:textId="77777777" w:rsidTr="00FE2151">
        <w:tc>
          <w:tcPr>
            <w:tcW w:w="448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tcPr>
          <w:p w14:paraId="678AC4C4" w14:textId="70A41FF2" w:rsidR="00550184" w:rsidRPr="00550184" w:rsidRDefault="00550184" w:rsidP="00550184">
            <w:pPr>
              <w:keepNext/>
              <w:spacing w:before="100" w:beforeAutospacing="1" w:after="100" w:afterAutospacing="1" w:line="240" w:lineRule="auto"/>
              <w:rPr>
                <w:rFonts w:ascii="Calibri" w:hAnsi="Calibri" w:cs="Calibri"/>
                <w:sz w:val="20"/>
                <w:szCs w:val="20"/>
              </w:rPr>
            </w:pPr>
            <w:r w:rsidRPr="00550184">
              <w:rPr>
                <w:sz w:val="20"/>
                <w:szCs w:val="20"/>
              </w:rPr>
              <w:t>Sawmills</w:t>
            </w:r>
          </w:p>
        </w:tc>
        <w:tc>
          <w:tcPr>
            <w:tcW w:w="990" w:type="dxa"/>
            <w:tcBorders>
              <w:top w:val="single" w:sz="8" w:space="0" w:color="auto"/>
              <w:left w:val="nil"/>
              <w:bottom w:val="single" w:sz="8" w:space="0" w:color="auto"/>
              <w:right w:val="single" w:sz="8" w:space="0" w:color="auto"/>
            </w:tcBorders>
          </w:tcPr>
          <w:p w14:paraId="51AB7BBA" w14:textId="226A69DB" w:rsidR="00550184" w:rsidRPr="00550184" w:rsidRDefault="00550184" w:rsidP="00550184">
            <w:pPr>
              <w:spacing w:before="100" w:beforeAutospacing="1" w:after="100" w:afterAutospacing="1" w:line="240" w:lineRule="auto"/>
              <w:jc w:val="center"/>
              <w:rPr>
                <w:color w:val="000000"/>
                <w:sz w:val="20"/>
                <w:szCs w:val="20"/>
              </w:rPr>
            </w:pPr>
            <w:r w:rsidRPr="00550184">
              <w:rPr>
                <w:sz w:val="20"/>
                <w:szCs w:val="20"/>
              </w:rPr>
              <w:t>(26/0/12)</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3AB67752" w14:textId="1EE90729" w:rsidR="00550184" w:rsidRDefault="00550184" w:rsidP="00550184">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050C5C16" w14:textId="77777777" w:rsidR="00550184" w:rsidRDefault="00550184" w:rsidP="00550184">
            <w:pPr>
              <w:spacing w:before="100" w:beforeAutospacing="1" w:after="100" w:afterAutospacing="1" w:line="240" w:lineRule="auto"/>
              <w:ind w:left="156"/>
              <w:rPr>
                <w:rFonts w:ascii="Calibri" w:hAnsi="Calibri" w:cs="Calibri"/>
                <w:color w:val="000000"/>
                <w:sz w:val="20"/>
                <w:szCs w:val="20"/>
              </w:rPr>
            </w:pPr>
          </w:p>
        </w:tc>
      </w:tr>
      <w:tr w:rsidR="00550184" w14:paraId="53CE90B7" w14:textId="77777777" w:rsidTr="00FE2151">
        <w:tc>
          <w:tcPr>
            <w:tcW w:w="448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tcPr>
          <w:p w14:paraId="082CA601" w14:textId="636A7C66" w:rsidR="00550184" w:rsidRPr="00550184" w:rsidRDefault="00550184" w:rsidP="00550184">
            <w:pPr>
              <w:keepNext/>
              <w:spacing w:before="100" w:beforeAutospacing="1" w:after="100" w:afterAutospacing="1" w:line="240" w:lineRule="auto"/>
              <w:rPr>
                <w:rFonts w:ascii="Calibri" w:hAnsi="Calibri" w:cs="Calibri"/>
                <w:sz w:val="20"/>
                <w:szCs w:val="20"/>
              </w:rPr>
            </w:pPr>
            <w:r w:rsidRPr="00550184">
              <w:rPr>
                <w:sz w:val="20"/>
                <w:szCs w:val="20"/>
              </w:rPr>
              <w:t>Waste Combustion &amp; Treatment</w:t>
            </w:r>
          </w:p>
        </w:tc>
        <w:tc>
          <w:tcPr>
            <w:tcW w:w="990" w:type="dxa"/>
            <w:tcBorders>
              <w:top w:val="single" w:sz="8" w:space="0" w:color="auto"/>
              <w:left w:val="nil"/>
              <w:bottom w:val="single" w:sz="8" w:space="0" w:color="auto"/>
              <w:right w:val="single" w:sz="8" w:space="0" w:color="auto"/>
            </w:tcBorders>
          </w:tcPr>
          <w:p w14:paraId="33E935DA" w14:textId="676BCE73" w:rsidR="00550184" w:rsidRPr="00550184" w:rsidRDefault="00550184" w:rsidP="00550184">
            <w:pPr>
              <w:spacing w:before="100" w:beforeAutospacing="1" w:after="100" w:afterAutospacing="1" w:line="240" w:lineRule="auto"/>
              <w:jc w:val="center"/>
              <w:rPr>
                <w:color w:val="000000"/>
                <w:sz w:val="20"/>
                <w:szCs w:val="20"/>
              </w:rPr>
            </w:pPr>
            <w:r w:rsidRPr="00550184">
              <w:rPr>
                <w:sz w:val="20"/>
                <w:szCs w:val="20"/>
              </w:rPr>
              <w:t>(10/10/10)</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14C3BC99" w14:textId="167A333F" w:rsidR="00550184" w:rsidRDefault="00550184" w:rsidP="00550184">
            <w:pPr>
              <w:spacing w:before="100" w:beforeAutospacing="1" w:after="100" w:afterAutospacing="1" w:line="240" w:lineRule="auto"/>
              <w:jc w:val="center"/>
              <w:rPr>
                <w:color w:val="000000"/>
                <w:sz w:val="20"/>
                <w:szCs w:val="20"/>
              </w:rPr>
            </w:pPr>
          </w:p>
        </w:tc>
        <w:tc>
          <w:tcPr>
            <w:tcW w:w="3301" w:type="dxa"/>
            <w:vMerge/>
            <w:tcBorders>
              <w:left w:val="nil"/>
              <w:right w:val="single" w:sz="12" w:space="0" w:color="auto"/>
            </w:tcBorders>
            <w:vAlign w:val="center"/>
          </w:tcPr>
          <w:p w14:paraId="3426E93D" w14:textId="77777777" w:rsidR="00550184" w:rsidRDefault="00550184" w:rsidP="00550184">
            <w:pPr>
              <w:spacing w:before="100" w:beforeAutospacing="1" w:after="100" w:afterAutospacing="1" w:line="240" w:lineRule="auto"/>
              <w:ind w:left="156"/>
              <w:rPr>
                <w:rFonts w:ascii="Calibri" w:hAnsi="Calibri" w:cs="Calibri"/>
                <w:color w:val="000000"/>
                <w:sz w:val="20"/>
                <w:szCs w:val="20"/>
              </w:rPr>
            </w:pPr>
          </w:p>
        </w:tc>
      </w:tr>
      <w:tr w:rsidR="00550184" w14:paraId="7BE516D4" w14:textId="77777777" w:rsidTr="00FE2151">
        <w:tc>
          <w:tcPr>
            <w:tcW w:w="4485"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tcPr>
          <w:p w14:paraId="3692A83A" w14:textId="07334E11" w:rsidR="00550184" w:rsidRPr="00550184" w:rsidRDefault="00550184" w:rsidP="00550184">
            <w:pPr>
              <w:spacing w:before="100" w:beforeAutospacing="1" w:after="100" w:afterAutospacing="1" w:line="240" w:lineRule="auto"/>
              <w:rPr>
                <w:rFonts w:ascii="Calibri" w:hAnsi="Calibri" w:cs="Calibri"/>
                <w:sz w:val="20"/>
                <w:szCs w:val="20"/>
              </w:rPr>
            </w:pPr>
            <w:r w:rsidRPr="00550184">
              <w:rPr>
                <w:sz w:val="20"/>
                <w:szCs w:val="20"/>
              </w:rPr>
              <w:t>Landfill</w:t>
            </w:r>
          </w:p>
        </w:tc>
        <w:tc>
          <w:tcPr>
            <w:tcW w:w="990" w:type="dxa"/>
            <w:tcBorders>
              <w:top w:val="single" w:sz="8" w:space="0" w:color="auto"/>
              <w:left w:val="nil"/>
              <w:bottom w:val="single" w:sz="12" w:space="0" w:color="auto"/>
              <w:right w:val="single" w:sz="8" w:space="0" w:color="auto"/>
            </w:tcBorders>
          </w:tcPr>
          <w:p w14:paraId="334C9A8E" w14:textId="2DDBEE17" w:rsidR="00550184" w:rsidRPr="00550184" w:rsidRDefault="00550184" w:rsidP="00550184">
            <w:pPr>
              <w:spacing w:before="100" w:beforeAutospacing="1" w:after="100" w:afterAutospacing="1" w:line="240" w:lineRule="auto"/>
              <w:jc w:val="center"/>
              <w:rPr>
                <w:color w:val="000000"/>
                <w:sz w:val="20"/>
                <w:szCs w:val="20"/>
              </w:rPr>
            </w:pPr>
            <w:r w:rsidRPr="00550184">
              <w:rPr>
                <w:sz w:val="20"/>
                <w:szCs w:val="20"/>
              </w:rPr>
              <w:t>(10/10/10)</w:t>
            </w:r>
          </w:p>
        </w:tc>
        <w:tc>
          <w:tcPr>
            <w:tcW w:w="749" w:type="dxa"/>
            <w:tcBorders>
              <w:top w:val="single" w:sz="8" w:space="0" w:color="auto"/>
              <w:left w:val="single" w:sz="8" w:space="0" w:color="auto"/>
              <w:bottom w:val="single" w:sz="12" w:space="0" w:color="auto"/>
              <w:right w:val="single" w:sz="8" w:space="0" w:color="auto"/>
            </w:tcBorders>
            <w:tcMar>
              <w:top w:w="0" w:type="dxa"/>
              <w:left w:w="108" w:type="dxa"/>
              <w:bottom w:w="0" w:type="dxa"/>
              <w:right w:w="108" w:type="dxa"/>
            </w:tcMar>
            <w:vAlign w:val="bottom"/>
          </w:tcPr>
          <w:p w14:paraId="1CD1F921" w14:textId="77777777" w:rsidR="00550184" w:rsidRDefault="00550184" w:rsidP="00550184">
            <w:pPr>
              <w:spacing w:before="100" w:beforeAutospacing="1" w:after="100" w:afterAutospacing="1" w:line="240" w:lineRule="auto"/>
              <w:jc w:val="center"/>
              <w:rPr>
                <w:color w:val="000000"/>
                <w:sz w:val="20"/>
                <w:szCs w:val="20"/>
              </w:rPr>
            </w:pPr>
          </w:p>
        </w:tc>
        <w:tc>
          <w:tcPr>
            <w:tcW w:w="3301" w:type="dxa"/>
            <w:vMerge/>
            <w:tcBorders>
              <w:left w:val="nil"/>
              <w:bottom w:val="single" w:sz="12" w:space="0" w:color="auto"/>
              <w:right w:val="single" w:sz="12" w:space="0" w:color="auto"/>
            </w:tcBorders>
            <w:vAlign w:val="center"/>
          </w:tcPr>
          <w:p w14:paraId="3E4F1BAA" w14:textId="77777777" w:rsidR="00550184" w:rsidRDefault="00550184" w:rsidP="00550184">
            <w:pPr>
              <w:spacing w:before="100" w:beforeAutospacing="1" w:after="100" w:afterAutospacing="1" w:line="240" w:lineRule="auto"/>
              <w:ind w:left="156"/>
              <w:rPr>
                <w:rFonts w:ascii="Calibri" w:hAnsi="Calibri" w:cs="Calibri"/>
                <w:color w:val="000000"/>
                <w:sz w:val="20"/>
                <w:szCs w:val="20"/>
              </w:rPr>
            </w:pPr>
          </w:p>
        </w:tc>
      </w:tr>
    </w:tbl>
    <w:p w14:paraId="22CACCA0" w14:textId="5918DBBB" w:rsidR="00332F6D" w:rsidRDefault="00332F6D" w:rsidP="00332F6D"/>
    <w:p w14:paraId="3EC0495C" w14:textId="19645C3E" w:rsidR="00143B16" w:rsidRPr="006A4A08" w:rsidRDefault="006A4A08" w:rsidP="006A4A08">
      <w:pPr>
        <w:keepNext/>
        <w:ind w:right="2340"/>
        <w:rPr>
          <w:i/>
          <w:iCs/>
        </w:rPr>
      </w:pPr>
      <w:bookmarkStart w:id="5" w:name="_Ref65051281"/>
      <w:r w:rsidRPr="006A4A08">
        <w:rPr>
          <w:b/>
          <w:bCs/>
          <w:i/>
          <w:iCs/>
        </w:rPr>
        <w:lastRenderedPageBreak/>
        <w:t xml:space="preserve">Table </w:t>
      </w:r>
      <w:r w:rsidRPr="006A4A08">
        <w:rPr>
          <w:b/>
          <w:bCs/>
          <w:i/>
          <w:iCs/>
        </w:rPr>
        <w:fldChar w:fldCharType="begin"/>
      </w:r>
      <w:r w:rsidRPr="006A4A08">
        <w:rPr>
          <w:b/>
          <w:bCs/>
          <w:i/>
          <w:iCs/>
        </w:rPr>
        <w:instrText xml:space="preserve"> SEQ Table \* ARABIC </w:instrText>
      </w:r>
      <w:r w:rsidRPr="006A4A08">
        <w:rPr>
          <w:b/>
          <w:bCs/>
          <w:i/>
          <w:iCs/>
        </w:rPr>
        <w:fldChar w:fldCharType="separate"/>
      </w:r>
      <w:r w:rsidR="00550184">
        <w:rPr>
          <w:b/>
          <w:bCs/>
          <w:i/>
          <w:iCs/>
          <w:noProof/>
        </w:rPr>
        <w:t>4</w:t>
      </w:r>
      <w:r w:rsidRPr="006A4A08">
        <w:rPr>
          <w:b/>
          <w:bCs/>
          <w:i/>
          <w:iCs/>
        </w:rPr>
        <w:fldChar w:fldCharType="end"/>
      </w:r>
      <w:bookmarkEnd w:id="5"/>
      <w:r w:rsidRPr="006A4A08">
        <w:rPr>
          <w:i/>
          <w:iCs/>
        </w:rPr>
        <w:t>: Top 15 sectors identified and listed by score under a GHG/CAP/HAP scenario with</w:t>
      </w:r>
      <w:r>
        <w:rPr>
          <w:i/>
          <w:iCs/>
        </w:rPr>
        <w:t xml:space="preserve"> counties selected based on PM, ozone, and HAP risk criteria</w:t>
      </w:r>
      <w:r w:rsidRPr="006A4A08">
        <w:rPr>
          <w:i/>
          <w:iCs/>
        </w:rPr>
        <w:t xml:space="preserve">.  </w:t>
      </w:r>
    </w:p>
    <w:tbl>
      <w:tblPr>
        <w:tblStyle w:val="TableGrid"/>
        <w:tblW w:w="8030" w:type="dxa"/>
        <w:tblInd w:w="-15" w:type="dxa"/>
        <w:tblLook w:val="04A0" w:firstRow="1" w:lastRow="0" w:firstColumn="1" w:lastColumn="0" w:noHBand="0" w:noVBand="1"/>
      </w:tblPr>
      <w:tblGrid>
        <w:gridCol w:w="6190"/>
        <w:gridCol w:w="920"/>
        <w:gridCol w:w="920"/>
      </w:tblGrid>
      <w:tr w:rsidR="00B26D94" w:rsidRPr="00B67B11" w14:paraId="5EC4E4AE" w14:textId="6DCBE83A" w:rsidTr="00B26D94">
        <w:trPr>
          <w:tblHeader/>
        </w:trPr>
        <w:tc>
          <w:tcPr>
            <w:tcW w:w="6190" w:type="dxa"/>
            <w:tcBorders>
              <w:top w:val="single" w:sz="12" w:space="0" w:color="auto"/>
              <w:left w:val="single" w:sz="12" w:space="0" w:color="auto"/>
              <w:bottom w:val="single" w:sz="12" w:space="0" w:color="auto"/>
              <w:right w:val="single" w:sz="8" w:space="0" w:color="auto"/>
            </w:tcBorders>
            <w:shd w:val="clear" w:color="auto" w:fill="DBDBDB" w:themeFill="accent3" w:themeFillTint="66"/>
            <w:vAlign w:val="bottom"/>
          </w:tcPr>
          <w:p w14:paraId="7E88BCEE" w14:textId="22718338" w:rsidR="00B26D94" w:rsidRPr="006A4A08" w:rsidRDefault="00B26D94" w:rsidP="006A4A08">
            <w:pPr>
              <w:keepNext/>
              <w:jc w:val="center"/>
              <w:rPr>
                <w:b/>
                <w:bCs/>
              </w:rPr>
            </w:pPr>
            <w:r w:rsidRPr="006A4A08">
              <w:rPr>
                <w:b/>
                <w:bCs/>
              </w:rPr>
              <w:t>Scenario 4</w:t>
            </w:r>
            <w:r w:rsidRPr="006A4A08">
              <w:rPr>
                <w:b/>
                <w:bCs/>
              </w:rPr>
              <w:br/>
              <w:t>(Select counties with PM mortality</w:t>
            </w:r>
            <w:r>
              <w:rPr>
                <w:b/>
                <w:bCs/>
              </w:rPr>
              <w:t xml:space="preserve"> risk&gt;</w:t>
            </w:r>
            <w:r w:rsidRPr="006A4A08">
              <w:rPr>
                <w:b/>
                <w:bCs/>
              </w:rPr>
              <w:t>10, ozone</w:t>
            </w:r>
            <w:r>
              <w:rPr>
                <w:b/>
                <w:bCs/>
              </w:rPr>
              <w:t xml:space="preserve"> mortality risk&gt;</w:t>
            </w:r>
            <w:r w:rsidRPr="006A4A08">
              <w:rPr>
                <w:b/>
                <w:bCs/>
              </w:rPr>
              <w:t>1, and HAP risk</w:t>
            </w:r>
            <w:r>
              <w:rPr>
                <w:b/>
                <w:bCs/>
              </w:rPr>
              <w:t>&gt;</w:t>
            </w:r>
            <w:r w:rsidRPr="006A4A08">
              <w:rPr>
                <w:b/>
                <w:bCs/>
              </w:rPr>
              <w:t>50)</w:t>
            </w:r>
          </w:p>
        </w:tc>
        <w:tc>
          <w:tcPr>
            <w:tcW w:w="920" w:type="dxa"/>
            <w:tcBorders>
              <w:top w:val="single" w:sz="12" w:space="0" w:color="auto"/>
              <w:left w:val="single" w:sz="8" w:space="0" w:color="auto"/>
              <w:bottom w:val="single" w:sz="12" w:space="0" w:color="auto"/>
              <w:right w:val="single" w:sz="8" w:space="0" w:color="auto"/>
            </w:tcBorders>
            <w:shd w:val="clear" w:color="auto" w:fill="DBDBDB" w:themeFill="accent3" w:themeFillTint="66"/>
            <w:vAlign w:val="bottom"/>
          </w:tcPr>
          <w:p w14:paraId="29BA1E92" w14:textId="6E603007" w:rsidR="00B26D94" w:rsidRPr="006A4A08" w:rsidRDefault="00B26D94" w:rsidP="00B26D94">
            <w:pPr>
              <w:keepNext/>
              <w:jc w:val="center"/>
              <w:rPr>
                <w:b/>
                <w:bCs/>
              </w:rPr>
            </w:pPr>
            <w:r>
              <w:rPr>
                <w:b/>
                <w:bCs/>
              </w:rPr>
              <w:t>Point?</w:t>
            </w:r>
          </w:p>
        </w:tc>
        <w:tc>
          <w:tcPr>
            <w:tcW w:w="920" w:type="dxa"/>
            <w:tcBorders>
              <w:top w:val="single" w:sz="12" w:space="0" w:color="auto"/>
              <w:left w:val="single" w:sz="8" w:space="0" w:color="auto"/>
              <w:bottom w:val="single" w:sz="12" w:space="0" w:color="auto"/>
            </w:tcBorders>
            <w:shd w:val="clear" w:color="auto" w:fill="DBDBDB" w:themeFill="accent3" w:themeFillTint="66"/>
            <w:vAlign w:val="bottom"/>
          </w:tcPr>
          <w:p w14:paraId="4298EEC8" w14:textId="57CB34EC" w:rsidR="00B26D94" w:rsidRPr="006A4A08" w:rsidRDefault="00B26D94" w:rsidP="006A4A08">
            <w:pPr>
              <w:keepNext/>
              <w:jc w:val="center"/>
              <w:rPr>
                <w:b/>
                <w:bCs/>
              </w:rPr>
            </w:pPr>
            <w:r w:rsidRPr="006A4A08">
              <w:rPr>
                <w:b/>
                <w:bCs/>
              </w:rPr>
              <w:t>Score</w:t>
            </w:r>
          </w:p>
        </w:tc>
      </w:tr>
      <w:tr w:rsidR="00B26D94" w:rsidRPr="00106B11" w14:paraId="216B5477" w14:textId="000D5649" w:rsidTr="00B26D94">
        <w:tc>
          <w:tcPr>
            <w:tcW w:w="6190" w:type="dxa"/>
            <w:tcBorders>
              <w:top w:val="single" w:sz="12" w:space="0" w:color="auto"/>
              <w:right w:val="single" w:sz="8" w:space="0" w:color="auto"/>
            </w:tcBorders>
            <w:vAlign w:val="bottom"/>
          </w:tcPr>
          <w:p w14:paraId="4285C88B" w14:textId="27B5B889" w:rsidR="00B26D94" w:rsidRPr="00B26D94" w:rsidRDefault="00B26D94" w:rsidP="00B26D94">
            <w:pPr>
              <w:keepNext/>
              <w:rPr>
                <w:sz w:val="20"/>
                <w:szCs w:val="20"/>
              </w:rPr>
            </w:pPr>
            <w:r w:rsidRPr="00B26D94">
              <w:rPr>
                <w:rFonts w:ascii="Calibri" w:hAnsi="Calibri" w:cs="Calibri"/>
                <w:color w:val="000000"/>
                <w:sz w:val="20"/>
                <w:szCs w:val="20"/>
              </w:rPr>
              <w:t>EGUs</w:t>
            </w:r>
          </w:p>
        </w:tc>
        <w:tc>
          <w:tcPr>
            <w:tcW w:w="920" w:type="dxa"/>
            <w:tcBorders>
              <w:top w:val="single" w:sz="12" w:space="0" w:color="auto"/>
              <w:right w:val="single" w:sz="8" w:space="0" w:color="auto"/>
            </w:tcBorders>
          </w:tcPr>
          <w:p w14:paraId="2BFD45EB" w14:textId="65963739"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top w:val="single" w:sz="12" w:space="0" w:color="auto"/>
              <w:left w:val="single" w:sz="8" w:space="0" w:color="auto"/>
            </w:tcBorders>
            <w:vAlign w:val="bottom"/>
          </w:tcPr>
          <w:p w14:paraId="1AB3EA04" w14:textId="24EBB1C7"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77</w:t>
            </w:r>
          </w:p>
        </w:tc>
      </w:tr>
      <w:tr w:rsidR="00B26D94" w:rsidRPr="00106B11" w14:paraId="25227D22" w14:textId="0325577A" w:rsidTr="00B26D94">
        <w:tc>
          <w:tcPr>
            <w:tcW w:w="6190" w:type="dxa"/>
            <w:tcBorders>
              <w:right w:val="single" w:sz="8" w:space="0" w:color="auto"/>
            </w:tcBorders>
            <w:vAlign w:val="bottom"/>
          </w:tcPr>
          <w:p w14:paraId="2D941626" w14:textId="0949C62F" w:rsidR="00B26D94" w:rsidRPr="00B26D94" w:rsidRDefault="00B26D94" w:rsidP="00B26D94">
            <w:pPr>
              <w:keepNext/>
              <w:rPr>
                <w:sz w:val="20"/>
                <w:szCs w:val="20"/>
              </w:rPr>
            </w:pPr>
            <w:r w:rsidRPr="00B26D94">
              <w:rPr>
                <w:rFonts w:ascii="Calibri" w:hAnsi="Calibri" w:cs="Calibri"/>
                <w:color w:val="000000"/>
                <w:sz w:val="20"/>
                <w:szCs w:val="20"/>
              </w:rPr>
              <w:t>Pulp and Paper</w:t>
            </w:r>
          </w:p>
        </w:tc>
        <w:tc>
          <w:tcPr>
            <w:tcW w:w="920" w:type="dxa"/>
            <w:tcBorders>
              <w:right w:val="single" w:sz="8" w:space="0" w:color="auto"/>
            </w:tcBorders>
          </w:tcPr>
          <w:p w14:paraId="1F5E9D79" w14:textId="4ED1768C"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tcBorders>
            <w:vAlign w:val="bottom"/>
          </w:tcPr>
          <w:p w14:paraId="4A999107" w14:textId="119F68D8"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55</w:t>
            </w:r>
          </w:p>
        </w:tc>
      </w:tr>
      <w:tr w:rsidR="00B26D94" w:rsidRPr="00106B11" w14:paraId="78BD5CAE" w14:textId="005D8BBF" w:rsidTr="00B26D94">
        <w:tc>
          <w:tcPr>
            <w:tcW w:w="6190" w:type="dxa"/>
            <w:tcBorders>
              <w:right w:val="single" w:sz="8" w:space="0" w:color="auto"/>
            </w:tcBorders>
            <w:vAlign w:val="bottom"/>
          </w:tcPr>
          <w:p w14:paraId="37274636" w14:textId="5BBC18F9" w:rsidR="00B26D94" w:rsidRPr="00B26D94" w:rsidRDefault="00B26D94" w:rsidP="00B26D94">
            <w:pPr>
              <w:keepNext/>
              <w:rPr>
                <w:sz w:val="20"/>
                <w:szCs w:val="20"/>
              </w:rPr>
            </w:pPr>
            <w:r w:rsidRPr="00B26D94">
              <w:rPr>
                <w:rFonts w:ascii="Calibri" w:hAnsi="Calibri" w:cs="Calibri"/>
                <w:color w:val="000000"/>
                <w:sz w:val="20"/>
                <w:szCs w:val="20"/>
              </w:rPr>
              <w:t>Fuel Comb - Residential - Wood</w:t>
            </w:r>
          </w:p>
        </w:tc>
        <w:tc>
          <w:tcPr>
            <w:tcW w:w="920" w:type="dxa"/>
            <w:tcBorders>
              <w:right w:val="single" w:sz="8" w:space="0" w:color="auto"/>
            </w:tcBorders>
          </w:tcPr>
          <w:p w14:paraId="28042FC8" w14:textId="77777777" w:rsidR="00B26D94" w:rsidRDefault="00B26D94" w:rsidP="00B26D94">
            <w:pPr>
              <w:keepNext/>
              <w:jc w:val="center"/>
              <w:rPr>
                <w:rFonts w:ascii="Calibri" w:hAnsi="Calibri" w:cs="Calibri"/>
                <w:color w:val="000000"/>
                <w:sz w:val="20"/>
                <w:szCs w:val="20"/>
              </w:rPr>
            </w:pPr>
          </w:p>
        </w:tc>
        <w:tc>
          <w:tcPr>
            <w:tcW w:w="920" w:type="dxa"/>
            <w:tcBorders>
              <w:left w:val="single" w:sz="8" w:space="0" w:color="auto"/>
            </w:tcBorders>
            <w:vAlign w:val="bottom"/>
          </w:tcPr>
          <w:p w14:paraId="1FC6CC78" w14:textId="7DE5015C"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53</w:t>
            </w:r>
          </w:p>
        </w:tc>
      </w:tr>
      <w:tr w:rsidR="00B26D94" w:rsidRPr="00106B11" w14:paraId="031B92DD" w14:textId="289EE646" w:rsidTr="00B26D94">
        <w:tc>
          <w:tcPr>
            <w:tcW w:w="6190" w:type="dxa"/>
            <w:tcBorders>
              <w:right w:val="single" w:sz="8" w:space="0" w:color="auto"/>
            </w:tcBorders>
            <w:vAlign w:val="bottom"/>
          </w:tcPr>
          <w:p w14:paraId="139981F7" w14:textId="3C0E029C" w:rsidR="00B26D94" w:rsidRPr="00B26D94" w:rsidRDefault="00B26D94" w:rsidP="00B26D94">
            <w:pPr>
              <w:keepNext/>
              <w:rPr>
                <w:sz w:val="20"/>
                <w:szCs w:val="20"/>
              </w:rPr>
            </w:pPr>
            <w:r w:rsidRPr="00B26D94">
              <w:rPr>
                <w:rFonts w:ascii="Calibri" w:hAnsi="Calibri" w:cs="Calibri"/>
                <w:color w:val="000000"/>
                <w:sz w:val="20"/>
                <w:szCs w:val="20"/>
              </w:rPr>
              <w:t>Synthetic Organic Chemical Industry</w:t>
            </w:r>
          </w:p>
        </w:tc>
        <w:tc>
          <w:tcPr>
            <w:tcW w:w="920" w:type="dxa"/>
            <w:tcBorders>
              <w:right w:val="single" w:sz="8" w:space="0" w:color="auto"/>
            </w:tcBorders>
          </w:tcPr>
          <w:p w14:paraId="64F90BC9" w14:textId="54BDC7D4"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tcBorders>
            <w:vAlign w:val="bottom"/>
          </w:tcPr>
          <w:p w14:paraId="72F4C2A6" w14:textId="1BA911D5"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42</w:t>
            </w:r>
          </w:p>
        </w:tc>
      </w:tr>
      <w:tr w:rsidR="00B26D94" w:rsidRPr="00106B11" w14:paraId="7E7E9974" w14:textId="32DC557D" w:rsidTr="00B26D94">
        <w:tc>
          <w:tcPr>
            <w:tcW w:w="6190" w:type="dxa"/>
            <w:tcBorders>
              <w:right w:val="single" w:sz="8" w:space="0" w:color="auto"/>
            </w:tcBorders>
            <w:vAlign w:val="bottom"/>
          </w:tcPr>
          <w:p w14:paraId="53DDC941" w14:textId="5145BAF4" w:rsidR="00B26D94" w:rsidRPr="00B26D94" w:rsidRDefault="00B26D94" w:rsidP="00B26D94">
            <w:pPr>
              <w:keepNext/>
              <w:rPr>
                <w:sz w:val="20"/>
                <w:szCs w:val="20"/>
              </w:rPr>
            </w:pPr>
            <w:r w:rsidRPr="00B26D94">
              <w:rPr>
                <w:rFonts w:ascii="Calibri" w:hAnsi="Calibri" w:cs="Calibri"/>
                <w:color w:val="000000"/>
                <w:sz w:val="20"/>
                <w:szCs w:val="20"/>
              </w:rPr>
              <w:t>Waste Disposal</w:t>
            </w:r>
          </w:p>
        </w:tc>
        <w:tc>
          <w:tcPr>
            <w:tcW w:w="920" w:type="dxa"/>
            <w:tcBorders>
              <w:right w:val="single" w:sz="8" w:space="0" w:color="auto"/>
            </w:tcBorders>
          </w:tcPr>
          <w:p w14:paraId="36730B60" w14:textId="77777777" w:rsidR="00B26D94" w:rsidRDefault="00B26D94" w:rsidP="00B26D94">
            <w:pPr>
              <w:keepNext/>
              <w:jc w:val="center"/>
              <w:rPr>
                <w:rFonts w:ascii="Calibri" w:hAnsi="Calibri" w:cs="Calibri"/>
                <w:color w:val="000000"/>
                <w:sz w:val="20"/>
                <w:szCs w:val="20"/>
              </w:rPr>
            </w:pPr>
          </w:p>
        </w:tc>
        <w:tc>
          <w:tcPr>
            <w:tcW w:w="920" w:type="dxa"/>
            <w:tcBorders>
              <w:left w:val="single" w:sz="8" w:space="0" w:color="auto"/>
            </w:tcBorders>
            <w:vAlign w:val="bottom"/>
          </w:tcPr>
          <w:p w14:paraId="49C86790" w14:textId="4BBFA3BE"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33</w:t>
            </w:r>
          </w:p>
        </w:tc>
      </w:tr>
      <w:tr w:rsidR="00B26D94" w:rsidRPr="00106B11" w14:paraId="67BCF4B2" w14:textId="2839E046" w:rsidTr="00B26D94">
        <w:tc>
          <w:tcPr>
            <w:tcW w:w="6190" w:type="dxa"/>
            <w:tcBorders>
              <w:right w:val="single" w:sz="8" w:space="0" w:color="auto"/>
            </w:tcBorders>
            <w:vAlign w:val="bottom"/>
          </w:tcPr>
          <w:p w14:paraId="59D1FBFD" w14:textId="6588EDA8" w:rsidR="00B26D94" w:rsidRPr="00B26D94" w:rsidRDefault="00B26D94" w:rsidP="00B26D94">
            <w:pPr>
              <w:keepNext/>
              <w:rPr>
                <w:sz w:val="20"/>
                <w:szCs w:val="20"/>
              </w:rPr>
            </w:pPr>
            <w:r w:rsidRPr="00B26D94">
              <w:rPr>
                <w:rFonts w:ascii="Calibri" w:hAnsi="Calibri" w:cs="Calibri"/>
                <w:color w:val="000000"/>
                <w:sz w:val="20"/>
                <w:szCs w:val="20"/>
              </w:rPr>
              <w:t>Fuel Comb - Industrial Boilers, ICEs - Biomass</w:t>
            </w:r>
          </w:p>
        </w:tc>
        <w:tc>
          <w:tcPr>
            <w:tcW w:w="920" w:type="dxa"/>
            <w:tcBorders>
              <w:right w:val="single" w:sz="8" w:space="0" w:color="auto"/>
            </w:tcBorders>
          </w:tcPr>
          <w:p w14:paraId="63A40A6F" w14:textId="77777777" w:rsidR="00B26D94" w:rsidRDefault="00B26D94" w:rsidP="00B26D94">
            <w:pPr>
              <w:keepNext/>
              <w:jc w:val="center"/>
              <w:rPr>
                <w:rFonts w:ascii="Calibri" w:hAnsi="Calibri" w:cs="Calibri"/>
                <w:color w:val="000000"/>
                <w:sz w:val="20"/>
                <w:szCs w:val="20"/>
              </w:rPr>
            </w:pPr>
          </w:p>
        </w:tc>
        <w:tc>
          <w:tcPr>
            <w:tcW w:w="920" w:type="dxa"/>
            <w:tcBorders>
              <w:left w:val="single" w:sz="8" w:space="0" w:color="auto"/>
            </w:tcBorders>
            <w:vAlign w:val="bottom"/>
          </w:tcPr>
          <w:p w14:paraId="4F5D928E" w14:textId="39BE9F02"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27</w:t>
            </w:r>
          </w:p>
        </w:tc>
      </w:tr>
      <w:tr w:rsidR="00B26D94" w:rsidRPr="00106B11" w14:paraId="58CDA6C8" w14:textId="53CC231B" w:rsidTr="00B26D94">
        <w:tc>
          <w:tcPr>
            <w:tcW w:w="6190" w:type="dxa"/>
            <w:tcBorders>
              <w:right w:val="single" w:sz="8" w:space="0" w:color="auto"/>
            </w:tcBorders>
            <w:vAlign w:val="bottom"/>
          </w:tcPr>
          <w:p w14:paraId="57043E0F" w14:textId="43BE8D3F" w:rsidR="00B26D94" w:rsidRPr="00B26D94" w:rsidRDefault="00B26D94" w:rsidP="00B26D94">
            <w:pPr>
              <w:keepNext/>
              <w:rPr>
                <w:sz w:val="20"/>
                <w:szCs w:val="20"/>
              </w:rPr>
            </w:pPr>
            <w:r w:rsidRPr="00B26D94">
              <w:rPr>
                <w:rFonts w:ascii="Calibri" w:hAnsi="Calibri" w:cs="Calibri"/>
                <w:color w:val="000000"/>
                <w:sz w:val="20"/>
                <w:szCs w:val="20"/>
              </w:rPr>
              <w:t>Industrial Processes - Oil &amp; Gas Production</w:t>
            </w:r>
          </w:p>
        </w:tc>
        <w:tc>
          <w:tcPr>
            <w:tcW w:w="920" w:type="dxa"/>
            <w:tcBorders>
              <w:right w:val="single" w:sz="8" w:space="0" w:color="auto"/>
            </w:tcBorders>
          </w:tcPr>
          <w:p w14:paraId="2697D24E" w14:textId="77777777" w:rsidR="00B26D94" w:rsidRDefault="00B26D94" w:rsidP="00B26D94">
            <w:pPr>
              <w:keepNext/>
              <w:jc w:val="center"/>
              <w:rPr>
                <w:rFonts w:ascii="Calibri" w:hAnsi="Calibri" w:cs="Calibri"/>
                <w:color w:val="000000"/>
                <w:sz w:val="20"/>
                <w:szCs w:val="20"/>
              </w:rPr>
            </w:pPr>
          </w:p>
        </w:tc>
        <w:tc>
          <w:tcPr>
            <w:tcW w:w="920" w:type="dxa"/>
            <w:tcBorders>
              <w:left w:val="single" w:sz="8" w:space="0" w:color="auto"/>
            </w:tcBorders>
            <w:vAlign w:val="bottom"/>
          </w:tcPr>
          <w:p w14:paraId="596BB4A0" w14:textId="1B21DEAE"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26</w:t>
            </w:r>
          </w:p>
        </w:tc>
      </w:tr>
      <w:tr w:rsidR="00B26D94" w:rsidRPr="00106B11" w14:paraId="3B979D0B" w14:textId="13FD3498" w:rsidTr="00B26D94">
        <w:tc>
          <w:tcPr>
            <w:tcW w:w="6190" w:type="dxa"/>
            <w:tcBorders>
              <w:right w:val="single" w:sz="8" w:space="0" w:color="auto"/>
            </w:tcBorders>
            <w:vAlign w:val="bottom"/>
          </w:tcPr>
          <w:p w14:paraId="64841E9F" w14:textId="537D4209" w:rsidR="00B26D94" w:rsidRPr="00B26D94" w:rsidRDefault="00B26D94" w:rsidP="00B26D94">
            <w:pPr>
              <w:keepNext/>
              <w:rPr>
                <w:sz w:val="20"/>
                <w:szCs w:val="20"/>
              </w:rPr>
            </w:pPr>
            <w:r w:rsidRPr="00B26D94">
              <w:rPr>
                <w:rFonts w:ascii="Calibri" w:hAnsi="Calibri" w:cs="Calibri"/>
                <w:color w:val="000000"/>
                <w:sz w:val="20"/>
                <w:szCs w:val="20"/>
              </w:rPr>
              <w:t>Other Point</w:t>
            </w:r>
          </w:p>
        </w:tc>
        <w:tc>
          <w:tcPr>
            <w:tcW w:w="920" w:type="dxa"/>
            <w:tcBorders>
              <w:right w:val="single" w:sz="8" w:space="0" w:color="auto"/>
            </w:tcBorders>
          </w:tcPr>
          <w:p w14:paraId="26676EAA" w14:textId="0FA7EA3C"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tcBorders>
            <w:vAlign w:val="bottom"/>
          </w:tcPr>
          <w:p w14:paraId="73D77638" w14:textId="1F2EDD60"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24</w:t>
            </w:r>
          </w:p>
        </w:tc>
      </w:tr>
      <w:tr w:rsidR="00B26D94" w:rsidRPr="00106B11" w14:paraId="705E4102" w14:textId="2BDF3BBB" w:rsidTr="00B26D94">
        <w:tc>
          <w:tcPr>
            <w:tcW w:w="6190" w:type="dxa"/>
            <w:tcBorders>
              <w:right w:val="single" w:sz="8" w:space="0" w:color="auto"/>
            </w:tcBorders>
            <w:vAlign w:val="bottom"/>
          </w:tcPr>
          <w:p w14:paraId="42707C53" w14:textId="4EE7365A" w:rsidR="00B26D94" w:rsidRPr="00B26D94" w:rsidRDefault="00B26D94" w:rsidP="00B26D94">
            <w:pPr>
              <w:keepNext/>
              <w:rPr>
                <w:sz w:val="20"/>
                <w:szCs w:val="20"/>
              </w:rPr>
            </w:pPr>
            <w:r w:rsidRPr="00B26D94">
              <w:rPr>
                <w:rFonts w:ascii="Calibri" w:hAnsi="Calibri" w:cs="Calibri"/>
                <w:color w:val="000000"/>
                <w:sz w:val="20"/>
                <w:szCs w:val="20"/>
              </w:rPr>
              <w:t>Oil &amp; natural gas transmissions</w:t>
            </w:r>
          </w:p>
        </w:tc>
        <w:tc>
          <w:tcPr>
            <w:tcW w:w="920" w:type="dxa"/>
            <w:tcBorders>
              <w:right w:val="single" w:sz="8" w:space="0" w:color="auto"/>
            </w:tcBorders>
          </w:tcPr>
          <w:p w14:paraId="38B9FEB6" w14:textId="37D1A796"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tcBorders>
            <w:vAlign w:val="bottom"/>
          </w:tcPr>
          <w:p w14:paraId="2E03324D" w14:textId="04F32FEB"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24</w:t>
            </w:r>
          </w:p>
        </w:tc>
      </w:tr>
      <w:tr w:rsidR="00B26D94" w:rsidRPr="00106B11" w14:paraId="36E0C612" w14:textId="4BAD84BF" w:rsidTr="00B26D94">
        <w:tc>
          <w:tcPr>
            <w:tcW w:w="6190" w:type="dxa"/>
            <w:tcBorders>
              <w:right w:val="single" w:sz="8" w:space="0" w:color="auto"/>
            </w:tcBorders>
            <w:vAlign w:val="bottom"/>
          </w:tcPr>
          <w:p w14:paraId="6AF0E727" w14:textId="4D7376B7" w:rsidR="00B26D94" w:rsidRPr="00B26D94" w:rsidRDefault="00B26D94" w:rsidP="00B26D94">
            <w:pPr>
              <w:keepNext/>
              <w:rPr>
                <w:sz w:val="20"/>
                <w:szCs w:val="20"/>
              </w:rPr>
            </w:pPr>
            <w:r w:rsidRPr="00B26D94">
              <w:rPr>
                <w:rFonts w:ascii="Calibri" w:hAnsi="Calibri" w:cs="Calibri"/>
                <w:color w:val="000000"/>
                <w:sz w:val="20"/>
                <w:szCs w:val="20"/>
              </w:rPr>
              <w:t>Refineries</w:t>
            </w:r>
          </w:p>
        </w:tc>
        <w:tc>
          <w:tcPr>
            <w:tcW w:w="920" w:type="dxa"/>
            <w:tcBorders>
              <w:right w:val="single" w:sz="8" w:space="0" w:color="auto"/>
            </w:tcBorders>
          </w:tcPr>
          <w:p w14:paraId="474C97F0" w14:textId="0116EA48"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tcBorders>
            <w:vAlign w:val="bottom"/>
          </w:tcPr>
          <w:p w14:paraId="5ACA65E2" w14:textId="78B8F73C"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14</w:t>
            </w:r>
          </w:p>
        </w:tc>
      </w:tr>
      <w:tr w:rsidR="00B26D94" w:rsidRPr="00106B11" w14:paraId="7D55D965" w14:textId="21B3686B" w:rsidTr="00B26D94">
        <w:tc>
          <w:tcPr>
            <w:tcW w:w="6190" w:type="dxa"/>
            <w:tcBorders>
              <w:right w:val="single" w:sz="8" w:space="0" w:color="auto"/>
            </w:tcBorders>
            <w:vAlign w:val="bottom"/>
          </w:tcPr>
          <w:p w14:paraId="681B609A" w14:textId="0D3454D3" w:rsidR="00B26D94" w:rsidRPr="00B26D94" w:rsidRDefault="00B26D94" w:rsidP="00B26D94">
            <w:pPr>
              <w:keepNext/>
              <w:rPr>
                <w:sz w:val="20"/>
                <w:szCs w:val="20"/>
              </w:rPr>
            </w:pPr>
            <w:r w:rsidRPr="00B26D94">
              <w:rPr>
                <w:rFonts w:ascii="Calibri" w:hAnsi="Calibri" w:cs="Calibri"/>
                <w:color w:val="000000"/>
                <w:sz w:val="20"/>
                <w:szCs w:val="20"/>
              </w:rPr>
              <w:t>Oil &amp; natural gas</w:t>
            </w:r>
          </w:p>
        </w:tc>
        <w:tc>
          <w:tcPr>
            <w:tcW w:w="920" w:type="dxa"/>
            <w:tcBorders>
              <w:right w:val="single" w:sz="8" w:space="0" w:color="auto"/>
            </w:tcBorders>
          </w:tcPr>
          <w:p w14:paraId="6B2551F0" w14:textId="672675E4"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tcBorders>
            <w:vAlign w:val="bottom"/>
          </w:tcPr>
          <w:p w14:paraId="7AB99820" w14:textId="0C4A132C"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14</w:t>
            </w:r>
          </w:p>
        </w:tc>
      </w:tr>
      <w:tr w:rsidR="00B26D94" w:rsidRPr="00106B11" w14:paraId="51B9A1D1" w14:textId="3D0DF9DD" w:rsidTr="00B26D94">
        <w:tc>
          <w:tcPr>
            <w:tcW w:w="6190" w:type="dxa"/>
            <w:tcBorders>
              <w:right w:val="single" w:sz="8" w:space="0" w:color="auto"/>
            </w:tcBorders>
            <w:vAlign w:val="bottom"/>
          </w:tcPr>
          <w:p w14:paraId="6181F5A5" w14:textId="4169923B" w:rsidR="00B26D94" w:rsidRPr="00550184" w:rsidRDefault="00B26D94" w:rsidP="00B26D94">
            <w:pPr>
              <w:keepNext/>
              <w:rPr>
                <w:sz w:val="20"/>
                <w:szCs w:val="20"/>
                <w:vertAlign w:val="superscript"/>
              </w:rPr>
            </w:pPr>
            <w:r w:rsidRPr="00B26D94">
              <w:rPr>
                <w:rFonts w:ascii="Calibri" w:hAnsi="Calibri" w:cs="Calibri"/>
                <w:color w:val="000000"/>
                <w:sz w:val="20"/>
                <w:szCs w:val="20"/>
              </w:rPr>
              <w:t>External Combustion Boilers</w:t>
            </w:r>
            <w:r w:rsidR="00550184">
              <w:rPr>
                <w:rFonts w:ascii="Calibri" w:hAnsi="Calibri" w:cs="Calibri"/>
                <w:color w:val="000000"/>
                <w:sz w:val="20"/>
                <w:szCs w:val="20"/>
                <w:vertAlign w:val="superscript"/>
              </w:rPr>
              <w:t>1</w:t>
            </w:r>
          </w:p>
        </w:tc>
        <w:tc>
          <w:tcPr>
            <w:tcW w:w="920" w:type="dxa"/>
            <w:tcBorders>
              <w:right w:val="single" w:sz="8" w:space="0" w:color="auto"/>
            </w:tcBorders>
          </w:tcPr>
          <w:p w14:paraId="57901CCA" w14:textId="49858C56"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tcBorders>
            <w:vAlign w:val="bottom"/>
          </w:tcPr>
          <w:p w14:paraId="5C375F09" w14:textId="1494D69B"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13</w:t>
            </w:r>
          </w:p>
        </w:tc>
      </w:tr>
      <w:tr w:rsidR="00B26D94" w:rsidRPr="00106B11" w14:paraId="6075FEE1" w14:textId="5345CE9C" w:rsidTr="00B26D94">
        <w:tc>
          <w:tcPr>
            <w:tcW w:w="6190" w:type="dxa"/>
            <w:tcBorders>
              <w:right w:val="single" w:sz="8" w:space="0" w:color="auto"/>
            </w:tcBorders>
            <w:vAlign w:val="bottom"/>
          </w:tcPr>
          <w:p w14:paraId="5981B7D3" w14:textId="2375A3A6" w:rsidR="00B26D94" w:rsidRPr="00B26D94" w:rsidRDefault="00B26D94" w:rsidP="00B26D94">
            <w:pPr>
              <w:keepNext/>
              <w:rPr>
                <w:sz w:val="20"/>
                <w:szCs w:val="20"/>
              </w:rPr>
            </w:pPr>
            <w:r w:rsidRPr="00B26D94">
              <w:rPr>
                <w:rFonts w:ascii="Calibri" w:hAnsi="Calibri" w:cs="Calibri"/>
                <w:color w:val="000000"/>
                <w:sz w:val="20"/>
                <w:szCs w:val="20"/>
              </w:rPr>
              <w:t>Commercial Cooking</w:t>
            </w:r>
          </w:p>
        </w:tc>
        <w:tc>
          <w:tcPr>
            <w:tcW w:w="920" w:type="dxa"/>
            <w:tcBorders>
              <w:right w:val="single" w:sz="8" w:space="0" w:color="auto"/>
            </w:tcBorders>
          </w:tcPr>
          <w:p w14:paraId="68D27F63" w14:textId="77777777" w:rsidR="00B26D94" w:rsidRDefault="00B26D94" w:rsidP="00B26D94">
            <w:pPr>
              <w:keepNext/>
              <w:jc w:val="center"/>
              <w:rPr>
                <w:rFonts w:ascii="Calibri" w:hAnsi="Calibri" w:cs="Calibri"/>
                <w:color w:val="000000"/>
                <w:sz w:val="20"/>
                <w:szCs w:val="20"/>
              </w:rPr>
            </w:pPr>
          </w:p>
        </w:tc>
        <w:tc>
          <w:tcPr>
            <w:tcW w:w="920" w:type="dxa"/>
            <w:tcBorders>
              <w:left w:val="single" w:sz="8" w:space="0" w:color="auto"/>
            </w:tcBorders>
            <w:vAlign w:val="bottom"/>
          </w:tcPr>
          <w:p w14:paraId="3814178E" w14:textId="1ACB8643"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13</w:t>
            </w:r>
          </w:p>
        </w:tc>
      </w:tr>
      <w:tr w:rsidR="00B26D94" w:rsidRPr="00106B11" w14:paraId="4205A02F" w14:textId="75D8771A" w:rsidTr="00B26D94">
        <w:tc>
          <w:tcPr>
            <w:tcW w:w="6190" w:type="dxa"/>
            <w:tcBorders>
              <w:bottom w:val="single" w:sz="4" w:space="0" w:color="auto"/>
              <w:right w:val="single" w:sz="8" w:space="0" w:color="auto"/>
            </w:tcBorders>
            <w:vAlign w:val="bottom"/>
          </w:tcPr>
          <w:p w14:paraId="29BFE6CA" w14:textId="5ABB9C4A" w:rsidR="00B26D94" w:rsidRPr="00B26D94" w:rsidRDefault="00B26D94" w:rsidP="00B26D94">
            <w:pPr>
              <w:keepNext/>
              <w:rPr>
                <w:sz w:val="20"/>
                <w:szCs w:val="20"/>
              </w:rPr>
            </w:pPr>
            <w:r w:rsidRPr="00B26D94">
              <w:rPr>
                <w:rFonts w:ascii="Calibri" w:hAnsi="Calibri" w:cs="Calibri"/>
                <w:color w:val="000000"/>
                <w:sz w:val="20"/>
                <w:szCs w:val="20"/>
              </w:rPr>
              <w:t>Waste Combustion &amp; Treatment</w:t>
            </w:r>
          </w:p>
        </w:tc>
        <w:tc>
          <w:tcPr>
            <w:tcW w:w="920" w:type="dxa"/>
            <w:tcBorders>
              <w:bottom w:val="single" w:sz="4" w:space="0" w:color="auto"/>
              <w:right w:val="single" w:sz="8" w:space="0" w:color="auto"/>
            </w:tcBorders>
          </w:tcPr>
          <w:p w14:paraId="0811856E" w14:textId="2365A2C0" w:rsidR="00B26D94" w:rsidRDefault="00B26D94" w:rsidP="00B26D94">
            <w:pPr>
              <w:keepNext/>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bottom w:val="single" w:sz="4" w:space="0" w:color="auto"/>
            </w:tcBorders>
            <w:vAlign w:val="bottom"/>
          </w:tcPr>
          <w:p w14:paraId="0C5E1C75" w14:textId="4375715E" w:rsidR="00B26D94" w:rsidRPr="00E4428C" w:rsidRDefault="00B26D94" w:rsidP="00B26D94">
            <w:pPr>
              <w:keepNext/>
              <w:jc w:val="center"/>
              <w:rPr>
                <w:rFonts w:ascii="Calibri" w:hAnsi="Calibri" w:cs="Calibri"/>
                <w:color w:val="000000"/>
                <w:sz w:val="20"/>
                <w:szCs w:val="20"/>
              </w:rPr>
            </w:pPr>
            <w:r>
              <w:rPr>
                <w:rFonts w:ascii="Calibri" w:hAnsi="Calibri" w:cs="Calibri"/>
                <w:color w:val="000000"/>
              </w:rPr>
              <w:t>10</w:t>
            </w:r>
          </w:p>
        </w:tc>
      </w:tr>
      <w:tr w:rsidR="00B26D94" w:rsidRPr="00106B11" w14:paraId="71BAFAF1" w14:textId="1176594C" w:rsidTr="00B26D94">
        <w:tc>
          <w:tcPr>
            <w:tcW w:w="6190" w:type="dxa"/>
            <w:tcBorders>
              <w:bottom w:val="single" w:sz="12" w:space="0" w:color="auto"/>
              <w:right w:val="single" w:sz="8" w:space="0" w:color="auto"/>
            </w:tcBorders>
            <w:vAlign w:val="bottom"/>
          </w:tcPr>
          <w:p w14:paraId="116884CA" w14:textId="27D10A64" w:rsidR="00B26D94" w:rsidRPr="00B26D94" w:rsidRDefault="00B26D94" w:rsidP="00B26D94">
            <w:pPr>
              <w:rPr>
                <w:rFonts w:ascii="Calibri" w:hAnsi="Calibri" w:cs="Calibri"/>
                <w:color w:val="000000"/>
                <w:sz w:val="20"/>
                <w:szCs w:val="20"/>
              </w:rPr>
            </w:pPr>
            <w:r w:rsidRPr="00B26D94">
              <w:rPr>
                <w:rFonts w:ascii="Calibri" w:hAnsi="Calibri" w:cs="Calibri"/>
                <w:color w:val="000000"/>
                <w:sz w:val="20"/>
                <w:szCs w:val="20"/>
              </w:rPr>
              <w:t>Landfill</w:t>
            </w:r>
          </w:p>
        </w:tc>
        <w:tc>
          <w:tcPr>
            <w:tcW w:w="920" w:type="dxa"/>
            <w:tcBorders>
              <w:bottom w:val="single" w:sz="12" w:space="0" w:color="auto"/>
              <w:right w:val="single" w:sz="8" w:space="0" w:color="auto"/>
            </w:tcBorders>
          </w:tcPr>
          <w:p w14:paraId="4C673A8B" w14:textId="0D215B9F" w:rsidR="00B26D94" w:rsidRDefault="00B26D94" w:rsidP="00B26D94">
            <w:pPr>
              <w:jc w:val="center"/>
              <w:rPr>
                <w:rFonts w:ascii="Calibri" w:hAnsi="Calibri" w:cs="Calibri"/>
                <w:color w:val="000000"/>
                <w:sz w:val="20"/>
                <w:szCs w:val="20"/>
              </w:rPr>
            </w:pPr>
            <w:r>
              <w:rPr>
                <w:rFonts w:ascii="Calibri" w:hAnsi="Calibri" w:cs="Calibri"/>
                <w:color w:val="000000"/>
                <w:sz w:val="20"/>
                <w:szCs w:val="20"/>
              </w:rPr>
              <w:t>Y</w:t>
            </w:r>
          </w:p>
        </w:tc>
        <w:tc>
          <w:tcPr>
            <w:tcW w:w="920" w:type="dxa"/>
            <w:tcBorders>
              <w:left w:val="single" w:sz="8" w:space="0" w:color="auto"/>
              <w:bottom w:val="single" w:sz="12" w:space="0" w:color="auto"/>
            </w:tcBorders>
            <w:vAlign w:val="bottom"/>
          </w:tcPr>
          <w:p w14:paraId="044C7335" w14:textId="146E2197" w:rsidR="00B26D94" w:rsidRPr="00342350" w:rsidRDefault="00B26D94" w:rsidP="00B26D94">
            <w:pPr>
              <w:jc w:val="center"/>
              <w:rPr>
                <w:rFonts w:ascii="Calibri" w:hAnsi="Calibri" w:cs="Calibri"/>
                <w:color w:val="000000"/>
                <w:sz w:val="20"/>
                <w:szCs w:val="20"/>
              </w:rPr>
            </w:pPr>
            <w:r>
              <w:rPr>
                <w:rFonts w:ascii="Calibri" w:hAnsi="Calibri" w:cs="Calibri"/>
                <w:color w:val="000000"/>
              </w:rPr>
              <w:t>10</w:t>
            </w:r>
          </w:p>
        </w:tc>
      </w:tr>
    </w:tbl>
    <w:p w14:paraId="1CBFDCB5" w14:textId="08D0257A" w:rsidR="00143B16" w:rsidRPr="00550184" w:rsidRDefault="00550184" w:rsidP="00632441">
      <w:r>
        <w:rPr>
          <w:vertAlign w:val="superscript"/>
        </w:rPr>
        <w:t>1</w:t>
      </w:r>
      <w:r>
        <w:t xml:space="preserve"> As defined in this analysis, these are non-EGU external combustion boilers that are not associated with the NAICS codes shown in </w:t>
      </w:r>
      <w:r w:rsidR="000D68C2">
        <w:fldChar w:fldCharType="begin"/>
      </w:r>
      <w:r w:rsidR="000D68C2">
        <w:instrText xml:space="preserve"> REF _Ref65051715 \h </w:instrText>
      </w:r>
      <w:r w:rsidR="000D68C2">
        <w:fldChar w:fldCharType="separate"/>
      </w:r>
      <w:r w:rsidR="000D68C2">
        <w:t xml:space="preserve">Table </w:t>
      </w:r>
      <w:r w:rsidR="000D68C2">
        <w:rPr>
          <w:noProof/>
        </w:rPr>
        <w:t>5</w:t>
      </w:r>
      <w:r w:rsidR="000D68C2">
        <w:fldChar w:fldCharType="end"/>
      </w:r>
      <w:r w:rsidR="000D68C2">
        <w:t xml:space="preserve"> in </w:t>
      </w:r>
      <w:r>
        <w:t xml:space="preserve">Appendix Section </w:t>
      </w:r>
      <w:r>
        <w:fldChar w:fldCharType="begin"/>
      </w:r>
      <w:r>
        <w:instrText xml:space="preserve"> REF _Ref65051502 \r \h </w:instrText>
      </w:r>
      <w:r>
        <w:fldChar w:fldCharType="separate"/>
      </w:r>
      <w:r>
        <w:t>6.1</w:t>
      </w:r>
      <w:r>
        <w:fldChar w:fldCharType="end"/>
      </w:r>
    </w:p>
    <w:p w14:paraId="31D22E59" w14:textId="1364F5A5" w:rsidR="00CA2065" w:rsidRDefault="00CA2065" w:rsidP="009D4255">
      <w:pPr>
        <w:pStyle w:val="Heading1"/>
      </w:pPr>
      <w:r>
        <w:t xml:space="preserve">Suggested enhancements </w:t>
      </w:r>
      <w:r w:rsidR="002341AB">
        <w:t>for discussion</w:t>
      </w:r>
    </w:p>
    <w:p w14:paraId="323BEB43" w14:textId="21533230" w:rsidR="002341AB" w:rsidRDefault="002341AB" w:rsidP="009D4255">
      <w:pPr>
        <w:pStyle w:val="ListParagraph"/>
        <w:keepNext/>
        <w:numPr>
          <w:ilvl w:val="0"/>
          <w:numId w:val="7"/>
        </w:numPr>
      </w:pPr>
      <w:r>
        <w:t xml:space="preserve">Examine level of confidence in the underlying emissions data </w:t>
      </w:r>
    </w:p>
    <w:p w14:paraId="5AB1A292" w14:textId="0FC600C3" w:rsidR="002341AB" w:rsidRDefault="002341AB" w:rsidP="002341AB">
      <w:pPr>
        <w:pStyle w:val="ListParagraph"/>
        <w:numPr>
          <w:ilvl w:val="1"/>
          <w:numId w:val="7"/>
        </w:numPr>
      </w:pPr>
      <w:r>
        <w:t>If going to use the spreadsheet for decisions, needs a more rigorous review of assumptions with staff</w:t>
      </w:r>
      <w:r w:rsidR="009D4255">
        <w:t xml:space="preserve"> and perform additional quality assurance</w:t>
      </w:r>
      <w:r>
        <w:t>.</w:t>
      </w:r>
    </w:p>
    <w:p w14:paraId="6748C7E6" w14:textId="51F87223" w:rsidR="00CA2065" w:rsidRDefault="00CA2065" w:rsidP="00CA2065">
      <w:pPr>
        <w:pStyle w:val="ListParagraph"/>
        <w:numPr>
          <w:ilvl w:val="0"/>
          <w:numId w:val="7"/>
        </w:numPr>
      </w:pPr>
      <w:r>
        <w:t>Use SPPD sector definitions</w:t>
      </w:r>
    </w:p>
    <w:p w14:paraId="570A06F1" w14:textId="16583BBD" w:rsidR="002341AB" w:rsidRDefault="002341AB" w:rsidP="002341AB">
      <w:pPr>
        <w:pStyle w:val="ListParagraph"/>
        <w:numPr>
          <w:ilvl w:val="1"/>
          <w:numId w:val="7"/>
        </w:numPr>
      </w:pPr>
      <w:r>
        <w:t>Brenda Shine and her team are working on this currently.</w:t>
      </w:r>
    </w:p>
    <w:p w14:paraId="6E29ABE7" w14:textId="45D6EE4F" w:rsidR="00CA2065" w:rsidRDefault="00CA2065" w:rsidP="00CA2065">
      <w:pPr>
        <w:pStyle w:val="ListParagraph"/>
        <w:numPr>
          <w:ilvl w:val="0"/>
          <w:numId w:val="7"/>
        </w:numPr>
      </w:pPr>
      <w:r>
        <w:t>Improve HAP metrics to reflect risk</w:t>
      </w:r>
      <w:r w:rsidR="002341AB">
        <w:t xml:space="preserve"> </w:t>
      </w:r>
      <w:r w:rsidR="002F27B6">
        <w:t xml:space="preserve">at greater spatial resolution </w:t>
      </w:r>
      <w:r>
        <w:t xml:space="preserve">and include </w:t>
      </w:r>
      <w:r w:rsidR="002F27B6">
        <w:t xml:space="preserve">attribution of risk to </w:t>
      </w:r>
      <w:r>
        <w:t>sector</w:t>
      </w:r>
      <w:r w:rsidR="002F27B6">
        <w:t>s</w:t>
      </w:r>
    </w:p>
    <w:p w14:paraId="59ECD468" w14:textId="77777777" w:rsidR="002341AB" w:rsidRDefault="002341AB" w:rsidP="00CA2065">
      <w:pPr>
        <w:pStyle w:val="ListParagraph"/>
        <w:numPr>
          <w:ilvl w:val="0"/>
          <w:numId w:val="7"/>
        </w:numPr>
      </w:pPr>
      <w:r>
        <w:t xml:space="preserve">Account for existing ‘on-the-books’ controls by incorporating </w:t>
      </w:r>
      <w:r w:rsidR="00CA2065">
        <w:t xml:space="preserve">future-year emissions for criteria pollutants </w:t>
      </w:r>
    </w:p>
    <w:p w14:paraId="4FB4A598" w14:textId="3084609C" w:rsidR="00CA2065" w:rsidRDefault="002341AB" w:rsidP="002341AB">
      <w:pPr>
        <w:pStyle w:val="ListParagraph"/>
        <w:numPr>
          <w:ilvl w:val="1"/>
          <w:numId w:val="7"/>
        </w:numPr>
      </w:pPr>
      <w:r>
        <w:t>U</w:t>
      </w:r>
      <w:r w:rsidR="00CA2065">
        <w:t>nsure whether GHG and HAP projections are readily available</w:t>
      </w:r>
      <w:r w:rsidR="002F27B6">
        <w:t xml:space="preserve"> for stationary sources</w:t>
      </w:r>
    </w:p>
    <w:p w14:paraId="5A5E6622" w14:textId="1D3401B7" w:rsidR="002341AB" w:rsidRDefault="002341AB" w:rsidP="002341AB">
      <w:pPr>
        <w:pStyle w:val="ListParagraph"/>
        <w:numPr>
          <w:ilvl w:val="0"/>
          <w:numId w:val="7"/>
        </w:numPr>
      </w:pPr>
      <w:r>
        <w:t>Explore impact of ‘emissions reduction potential’ of sector (available controls, technology changes, fuel switching, etc)</w:t>
      </w:r>
    </w:p>
    <w:p w14:paraId="7281165E" w14:textId="5DD8824B" w:rsidR="002341AB" w:rsidRDefault="002341AB" w:rsidP="002341AB">
      <w:pPr>
        <w:pStyle w:val="ListParagraph"/>
        <w:numPr>
          <w:ilvl w:val="0"/>
          <w:numId w:val="7"/>
        </w:numPr>
      </w:pPr>
      <w:r>
        <w:t>More explicit account for geographic nature of criteria and HAP emissions and associated exposure to EJ communities.  For example, we have capabilities in NEXUS tool in this regard that can be used to supplement the ranking tables (attached Detroit example from NEXUS briefing).</w:t>
      </w:r>
    </w:p>
    <w:p w14:paraId="6BB035EF" w14:textId="77777777" w:rsidR="009D4255" w:rsidRDefault="009D4255" w:rsidP="009D4255">
      <w:pPr>
        <w:pStyle w:val="Heading1"/>
      </w:pPr>
      <w:bookmarkStart w:id="6" w:name="_Ref64901229"/>
      <w:r>
        <w:t>Updates to method since previous discussion with Senior Management Team</w:t>
      </w:r>
      <w:bookmarkEnd w:id="6"/>
    </w:p>
    <w:p w14:paraId="6211FCAC" w14:textId="77777777" w:rsidR="009D4255" w:rsidRDefault="009D4255" w:rsidP="009D4255">
      <w:pPr>
        <w:pStyle w:val="ListParagraph"/>
        <w:numPr>
          <w:ilvl w:val="0"/>
          <w:numId w:val="1"/>
        </w:numPr>
      </w:pPr>
      <w:r>
        <w:t>Added sectors based on the response surface work (Kirk Baker’s ongoing modeling work)</w:t>
      </w:r>
    </w:p>
    <w:p w14:paraId="67172D38" w14:textId="77777777" w:rsidR="009D4255" w:rsidRDefault="009D4255" w:rsidP="009D4255">
      <w:pPr>
        <w:pStyle w:val="ListParagraph"/>
        <w:numPr>
          <w:ilvl w:val="0"/>
          <w:numId w:val="1"/>
        </w:numPr>
      </w:pPr>
      <w:r>
        <w:lastRenderedPageBreak/>
        <w:t>Added additional sectors to further split out “other point” to make sure to capture the largest emitters of GHGs remaining within “Other Point” as separate sectors</w:t>
      </w:r>
    </w:p>
    <w:p w14:paraId="7F2EBC45" w14:textId="77777777" w:rsidR="009D4255" w:rsidRDefault="009D4255" w:rsidP="009D4255">
      <w:pPr>
        <w:pStyle w:val="ListParagraph"/>
        <w:numPr>
          <w:ilvl w:val="0"/>
          <w:numId w:val="1"/>
        </w:numPr>
      </w:pPr>
      <w:r>
        <w:t>Added ability to exclude or include population from non-CONUS areas (because non-CONUS does not have mortality or risk information)</w:t>
      </w:r>
    </w:p>
    <w:p w14:paraId="3EF997BB" w14:textId="77777777" w:rsidR="009D4255" w:rsidRDefault="009D4255" w:rsidP="009D4255">
      <w:pPr>
        <w:pStyle w:val="ListParagraph"/>
        <w:numPr>
          <w:ilvl w:val="0"/>
          <w:numId w:val="1"/>
        </w:numPr>
      </w:pPr>
      <w:r>
        <w:t>Added capability to weight indicators and/or exclude indicators with a weight of 0</w:t>
      </w:r>
    </w:p>
    <w:p w14:paraId="083EB3BC" w14:textId="77777777" w:rsidR="009D4255" w:rsidRDefault="009D4255" w:rsidP="009D4255">
      <w:pPr>
        <w:pStyle w:val="ListParagraph"/>
        <w:numPr>
          <w:ilvl w:val="0"/>
          <w:numId w:val="1"/>
        </w:numPr>
      </w:pPr>
      <w:r>
        <w:t>Added ability to select county population to include by: PM mortality, ozone mortality, and/or HAP risk (the selected population is then used in the per capita indicators)</w:t>
      </w:r>
    </w:p>
    <w:p w14:paraId="6881DBC2" w14:textId="77777777" w:rsidR="009D4255" w:rsidRDefault="009D4255" w:rsidP="009D4255">
      <w:pPr>
        <w:pStyle w:val="ListParagraph"/>
        <w:numPr>
          <w:ilvl w:val="0"/>
          <w:numId w:val="1"/>
        </w:numPr>
      </w:pPr>
      <w:r>
        <w:t>Since the sectors from the 2018 benefit-per-ton work are more aggregated, added mapping of more the detailed sectors in this analysis to those sectors</w:t>
      </w:r>
    </w:p>
    <w:p w14:paraId="58D87E9C" w14:textId="77777777" w:rsidR="009D4255" w:rsidRDefault="009D4255" w:rsidP="009D4255">
      <w:pPr>
        <w:pStyle w:val="ListParagraph"/>
        <w:numPr>
          <w:ilvl w:val="0"/>
          <w:numId w:val="1"/>
        </w:numPr>
      </w:pPr>
      <w:r>
        <w:t>Added ability to specify control reduction for NOx, PM2.5, and SO2 by sector, which controls 3 new indicators using ranked benefit in $ (note: limitation that benefit per ton information is not as detailed as the sectors included in the spreadsheet)</w:t>
      </w:r>
    </w:p>
    <w:p w14:paraId="7FA41481" w14:textId="05CDFA4C" w:rsidR="008B1445" w:rsidRDefault="008B1445" w:rsidP="002341AB">
      <w:pPr>
        <w:pStyle w:val="Heading1"/>
        <w:pageBreakBefore/>
      </w:pPr>
      <w:r w:rsidRPr="00962A53">
        <w:lastRenderedPageBreak/>
        <w:t>Appendix</w:t>
      </w:r>
    </w:p>
    <w:p w14:paraId="4A07DDFF" w14:textId="4A6920C0" w:rsidR="00962A53" w:rsidRDefault="00962A53" w:rsidP="00962A53">
      <w:pPr>
        <w:pStyle w:val="Heading2"/>
      </w:pPr>
      <w:bookmarkStart w:id="7" w:name="_Ref65051502"/>
      <w:r>
        <w:t>Sector assignments</w:t>
      </w:r>
      <w:bookmarkEnd w:id="7"/>
    </w:p>
    <w:p w14:paraId="792AC988" w14:textId="5A05237C" w:rsidR="006D4D84" w:rsidRDefault="006D4D84" w:rsidP="00962A53">
      <w:r>
        <w:t>For nonpoint sources, all sectors use SCC-based groups called “NEI Sectors”.</w:t>
      </w:r>
    </w:p>
    <w:p w14:paraId="36F27DD7" w14:textId="6715C63D" w:rsidR="00962A53" w:rsidRDefault="006D4D84" w:rsidP="00962A53">
      <w:r>
        <w:t>For point sources, c</w:t>
      </w:r>
      <w:r w:rsidR="00962A53">
        <w:t xml:space="preserve">oke ovens were assigned based on the coke oven emissions pollutant.  </w:t>
      </w:r>
      <w:r>
        <w:t>Most other p</w:t>
      </w:r>
      <w:r w:rsidR="00962A53">
        <w:t xml:space="preserve">oint source sectors were primarily set by NAICS code, with the following exceptions that use source classification codes (SCCs): </w:t>
      </w:r>
    </w:p>
    <w:p w14:paraId="6C411C7B" w14:textId="77777777" w:rsidR="00962A53" w:rsidRDefault="00962A53" w:rsidP="00962A53">
      <w:pPr>
        <w:pStyle w:val="ListParagraph"/>
        <w:numPr>
          <w:ilvl w:val="0"/>
          <w:numId w:val="10"/>
        </w:numPr>
      </w:pPr>
      <w:r>
        <w:t>Cement Kilns</w:t>
      </w:r>
    </w:p>
    <w:p w14:paraId="280B1457" w14:textId="77777777" w:rsidR="00962A53" w:rsidRDefault="00962A53" w:rsidP="00962A53">
      <w:pPr>
        <w:pStyle w:val="ListParagraph"/>
        <w:numPr>
          <w:ilvl w:val="0"/>
          <w:numId w:val="10"/>
        </w:numPr>
      </w:pPr>
      <w:r>
        <w:t>Pulp and Paper</w:t>
      </w:r>
    </w:p>
    <w:p w14:paraId="72583906" w14:textId="77777777" w:rsidR="00962A53" w:rsidRDefault="00962A53" w:rsidP="00962A53">
      <w:pPr>
        <w:pStyle w:val="ListParagraph"/>
        <w:numPr>
          <w:ilvl w:val="0"/>
          <w:numId w:val="10"/>
        </w:numPr>
      </w:pPr>
      <w:r>
        <w:t>External combustion boilers</w:t>
      </w:r>
    </w:p>
    <w:p w14:paraId="1FB8A2B7" w14:textId="77777777" w:rsidR="00962A53" w:rsidRDefault="00962A53" w:rsidP="00962A53">
      <w:pPr>
        <w:pStyle w:val="ListParagraph"/>
        <w:numPr>
          <w:ilvl w:val="0"/>
          <w:numId w:val="10"/>
        </w:numPr>
      </w:pPr>
      <w:r>
        <w:t>Internal combustion engines</w:t>
      </w:r>
    </w:p>
    <w:p w14:paraId="39F158DF" w14:textId="77777777" w:rsidR="00962A53" w:rsidRDefault="00962A53" w:rsidP="00962A53">
      <w:pPr>
        <w:pStyle w:val="ListParagraph"/>
        <w:numPr>
          <w:ilvl w:val="0"/>
          <w:numId w:val="10"/>
        </w:numPr>
      </w:pPr>
      <w:r>
        <w:t>Primary Copper Smelting</w:t>
      </w:r>
    </w:p>
    <w:p w14:paraId="0B1F5EEC" w14:textId="77777777" w:rsidR="00962A53" w:rsidRDefault="00962A53" w:rsidP="00962A53">
      <w:pPr>
        <w:pStyle w:val="ListParagraph"/>
        <w:numPr>
          <w:ilvl w:val="0"/>
          <w:numId w:val="10"/>
        </w:numPr>
      </w:pPr>
      <w:r>
        <w:t>Ferroalloys</w:t>
      </w:r>
    </w:p>
    <w:p w14:paraId="59E16C30" w14:textId="77777777" w:rsidR="00962A53" w:rsidRDefault="00962A53" w:rsidP="00962A53">
      <w:pPr>
        <w:pStyle w:val="ListParagraph"/>
        <w:numPr>
          <w:ilvl w:val="0"/>
          <w:numId w:val="10"/>
        </w:numPr>
      </w:pPr>
      <w:r w:rsidRPr="00962A53">
        <w:t>Electric Arc Furnaces and Argon-Oxygen Decarburization Vessels in Steel Plants</w:t>
      </w:r>
    </w:p>
    <w:p w14:paraId="295A8639" w14:textId="77777777" w:rsidR="00962A53" w:rsidRDefault="00962A53" w:rsidP="00962A53">
      <w:pPr>
        <w:pStyle w:val="ListParagraph"/>
        <w:numPr>
          <w:ilvl w:val="0"/>
          <w:numId w:val="10"/>
        </w:numPr>
      </w:pPr>
      <w:r>
        <w:t>Integrated Iron and Steel</w:t>
      </w:r>
    </w:p>
    <w:p w14:paraId="5DA718A1" w14:textId="77777777" w:rsidR="00962A53" w:rsidRDefault="00962A53" w:rsidP="00962A53">
      <w:pPr>
        <w:pStyle w:val="ListParagraph"/>
        <w:numPr>
          <w:ilvl w:val="0"/>
          <w:numId w:val="10"/>
        </w:numPr>
      </w:pPr>
      <w:r w:rsidRPr="00962A53">
        <w:t>Secondary Lead Smelters</w:t>
      </w:r>
    </w:p>
    <w:p w14:paraId="66BD6533" w14:textId="5978C943" w:rsidR="00962A53" w:rsidRDefault="00962A53" w:rsidP="00962A53">
      <w:pPr>
        <w:pStyle w:val="ListParagraph"/>
        <w:numPr>
          <w:ilvl w:val="0"/>
          <w:numId w:val="10"/>
        </w:numPr>
      </w:pPr>
      <w:r w:rsidRPr="00962A53">
        <w:t>Gasoline Distribution Bulk Terminals, Bulk Plants, and Pipeline Facilities</w:t>
      </w:r>
    </w:p>
    <w:p w14:paraId="09CDFE50" w14:textId="361048A8" w:rsidR="00962A53" w:rsidRDefault="00962A53" w:rsidP="00962A53">
      <w:r>
        <w:t xml:space="preserve">NAICS codes were used to set the following sectors, </w:t>
      </w:r>
      <w:r w:rsidRPr="00962A53">
        <w:rPr>
          <w:u w:val="single"/>
        </w:rPr>
        <w:t>before</w:t>
      </w:r>
      <w:r>
        <w:t xml:space="preserve"> the SCCs were applied.  </w:t>
      </w:r>
      <w:r w:rsidR="006D4D84">
        <w:t>Both the SCC-based sectors and t</w:t>
      </w:r>
      <w:r>
        <w:t>hese sectors are aligned with the ongoing source apportionment modeling.</w:t>
      </w:r>
      <w:r w:rsidR="006D4D84">
        <w:t xml:space="preserve"> </w:t>
      </w:r>
    </w:p>
    <w:p w14:paraId="29C01DDD" w14:textId="7B6D8525" w:rsidR="00550184" w:rsidRDefault="00550184" w:rsidP="00550184">
      <w:pPr>
        <w:pStyle w:val="Caption"/>
      </w:pPr>
      <w:bookmarkStart w:id="8" w:name="_Ref65051715"/>
      <w:r>
        <w:t xml:space="preserve">Table </w:t>
      </w:r>
      <w:fldSimple w:instr=" SEQ Table \* ARABIC ">
        <w:r>
          <w:rPr>
            <w:noProof/>
          </w:rPr>
          <w:t>5</w:t>
        </w:r>
      </w:fldSimple>
      <w:bookmarkEnd w:id="8"/>
      <w:r>
        <w:t>: NAICS codes used to set sectors before SCC-based sectors were applied.</w:t>
      </w:r>
    </w:p>
    <w:tbl>
      <w:tblPr>
        <w:tblW w:w="0" w:type="auto"/>
        <w:tblCellSpacing w:w="0" w:type="dxa"/>
        <w:tblInd w:w="-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690"/>
        <w:gridCol w:w="3645"/>
      </w:tblGrid>
      <w:tr w:rsidR="00962A53" w:rsidRPr="00962A53" w14:paraId="32C16BDD" w14:textId="7A771C16" w:rsidTr="009D4255">
        <w:trPr>
          <w:tblHeader/>
          <w:tblCellSpacing w:w="0" w:type="dxa"/>
        </w:trPr>
        <w:tc>
          <w:tcPr>
            <w:tcW w:w="3690"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1A6B02C" w14:textId="77777777" w:rsidR="00962A53" w:rsidRPr="00962A53" w:rsidRDefault="00962A53" w:rsidP="00962A53">
            <w:pPr>
              <w:spacing w:after="0" w:line="240" w:lineRule="auto"/>
              <w:jc w:val="center"/>
              <w:rPr>
                <w:rFonts w:ascii="Times New Roman" w:eastAsia="Times New Roman" w:hAnsi="Times New Roman" w:cs="Times New Roman"/>
                <w:b/>
                <w:bCs/>
                <w:sz w:val="24"/>
                <w:szCs w:val="24"/>
              </w:rPr>
            </w:pPr>
            <w:r w:rsidRPr="00962A53">
              <w:rPr>
                <w:rFonts w:ascii="Calibri" w:eastAsia="Times New Roman" w:hAnsi="Calibri" w:cs="Calibri"/>
                <w:b/>
                <w:bCs/>
                <w:color w:val="000000"/>
              </w:rPr>
              <w:t>NAICS Category</w:t>
            </w:r>
          </w:p>
        </w:tc>
        <w:tc>
          <w:tcPr>
            <w:tcW w:w="3645" w:type="dxa"/>
            <w:tcBorders>
              <w:top w:val="outset" w:sz="6" w:space="0" w:color="000000"/>
              <w:left w:val="outset" w:sz="6" w:space="0" w:color="000000"/>
              <w:bottom w:val="outset" w:sz="6" w:space="0" w:color="000000"/>
              <w:right w:val="outset" w:sz="6" w:space="0" w:color="000000"/>
            </w:tcBorders>
            <w:shd w:val="clear" w:color="auto" w:fill="C0C0C0"/>
          </w:tcPr>
          <w:p w14:paraId="467D683C" w14:textId="2AFE10F8" w:rsidR="00962A53" w:rsidRPr="00962A53" w:rsidRDefault="00962A53" w:rsidP="00962A5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Category</w:t>
            </w:r>
          </w:p>
        </w:tc>
      </w:tr>
      <w:tr w:rsidR="006D4D84" w:rsidRPr="00962A53" w14:paraId="42A1CC68" w14:textId="5414A388" w:rsidTr="009D4255">
        <w:trPr>
          <w:trHeight w:val="654"/>
          <w:tblCellSpacing w:w="0" w:type="dxa"/>
        </w:trPr>
        <w:tc>
          <w:tcPr>
            <w:tcW w:w="3690" w:type="dxa"/>
            <w:tcBorders>
              <w:top w:val="outset" w:sz="6" w:space="0" w:color="D0D7E5"/>
              <w:left w:val="outset" w:sz="6" w:space="0" w:color="D0D7E5"/>
              <w:right w:val="outset" w:sz="6" w:space="0" w:color="D0D7E5"/>
            </w:tcBorders>
            <w:shd w:val="clear" w:color="auto" w:fill="FFFFFF"/>
            <w:vAlign w:val="center"/>
            <w:hideMark/>
          </w:tcPr>
          <w:p w14:paraId="273BF7E5" w14:textId="490A1341" w:rsidR="006D4D84" w:rsidRPr="00962A53" w:rsidRDefault="006D4D84" w:rsidP="009D4255">
            <w:pPr>
              <w:spacing w:after="0" w:line="240" w:lineRule="auto"/>
              <w:rPr>
                <w:rFonts w:ascii="Times New Roman" w:eastAsia="Times New Roman" w:hAnsi="Times New Roman" w:cs="Times New Roman"/>
                <w:sz w:val="24"/>
                <w:szCs w:val="24"/>
              </w:rPr>
            </w:pPr>
            <w:r w:rsidRPr="00962A53">
              <w:rPr>
                <w:rFonts w:ascii="Calibri" w:eastAsia="Times New Roman" w:hAnsi="Calibri" w:cs="Calibri"/>
                <w:color w:val="000000"/>
              </w:rPr>
              <w:t>2111</w:t>
            </w:r>
            <w:r>
              <w:rPr>
                <w:rFonts w:ascii="Calibri" w:eastAsia="Times New Roman" w:hAnsi="Calibri" w:cs="Calibri"/>
                <w:color w:val="000000"/>
              </w:rPr>
              <w:t xml:space="preserve">, </w:t>
            </w:r>
            <w:r w:rsidRPr="00962A53">
              <w:rPr>
                <w:rFonts w:ascii="Calibri" w:eastAsia="Times New Roman" w:hAnsi="Calibri" w:cs="Calibri"/>
                <w:color w:val="000000"/>
              </w:rPr>
              <w:t>211111</w:t>
            </w:r>
            <w:r>
              <w:rPr>
                <w:rFonts w:ascii="Calibri" w:eastAsia="Times New Roman" w:hAnsi="Calibri" w:cs="Calibri"/>
                <w:color w:val="000000"/>
              </w:rPr>
              <w:t xml:space="preserve">, </w:t>
            </w:r>
            <w:r w:rsidRPr="00962A53">
              <w:rPr>
                <w:rFonts w:ascii="Calibri" w:eastAsia="Times New Roman" w:hAnsi="Calibri" w:cs="Calibri"/>
                <w:color w:val="000000"/>
              </w:rPr>
              <w:t>211112</w:t>
            </w:r>
            <w:r w:rsidR="009D4255">
              <w:rPr>
                <w:rFonts w:ascii="Calibri" w:eastAsia="Times New Roman" w:hAnsi="Calibri" w:cs="Calibri"/>
                <w:color w:val="000000"/>
              </w:rPr>
              <w:t xml:space="preserve">, </w:t>
            </w:r>
            <w:r w:rsidRPr="00962A53">
              <w:rPr>
                <w:rFonts w:ascii="Calibri" w:eastAsia="Times New Roman" w:hAnsi="Calibri" w:cs="Calibri"/>
                <w:color w:val="000000"/>
              </w:rPr>
              <w:t>21112</w:t>
            </w:r>
            <w:r>
              <w:rPr>
                <w:rFonts w:ascii="Calibri" w:eastAsia="Times New Roman" w:hAnsi="Calibri" w:cs="Calibri"/>
                <w:color w:val="000000"/>
              </w:rPr>
              <w:t xml:space="preserve">, </w:t>
            </w:r>
            <w:r w:rsidRPr="00962A53">
              <w:rPr>
                <w:rFonts w:ascii="Calibri" w:eastAsia="Times New Roman" w:hAnsi="Calibri" w:cs="Calibri"/>
                <w:color w:val="000000"/>
              </w:rPr>
              <w:t>211120</w:t>
            </w:r>
            <w:r>
              <w:rPr>
                <w:rFonts w:ascii="Calibri" w:eastAsia="Times New Roman" w:hAnsi="Calibri" w:cs="Calibri"/>
                <w:color w:val="000000"/>
              </w:rPr>
              <w:t xml:space="preserve">, </w:t>
            </w:r>
            <w:r w:rsidRPr="00962A53">
              <w:rPr>
                <w:rFonts w:ascii="Calibri" w:eastAsia="Times New Roman" w:hAnsi="Calibri" w:cs="Calibri"/>
                <w:color w:val="000000"/>
              </w:rPr>
              <w:t>21113</w:t>
            </w:r>
            <w:r w:rsidR="009D4255">
              <w:rPr>
                <w:rFonts w:ascii="Calibri" w:eastAsia="Times New Roman" w:hAnsi="Calibri" w:cs="Calibri"/>
                <w:color w:val="000000"/>
              </w:rPr>
              <w:t xml:space="preserve">, </w:t>
            </w:r>
            <w:r w:rsidRPr="00962A53">
              <w:rPr>
                <w:rFonts w:ascii="Calibri" w:eastAsia="Times New Roman" w:hAnsi="Calibri" w:cs="Calibri"/>
                <w:color w:val="000000"/>
              </w:rPr>
              <w:t>211130</w:t>
            </w:r>
          </w:p>
        </w:tc>
        <w:tc>
          <w:tcPr>
            <w:tcW w:w="3645" w:type="dxa"/>
            <w:tcBorders>
              <w:top w:val="outset" w:sz="6" w:space="0" w:color="D0D7E5"/>
              <w:left w:val="outset" w:sz="6" w:space="0" w:color="D0D7E5"/>
              <w:right w:val="outset" w:sz="6" w:space="0" w:color="D0D7E5"/>
            </w:tcBorders>
            <w:shd w:val="clear" w:color="auto" w:fill="FFFFFF"/>
            <w:vAlign w:val="center"/>
          </w:tcPr>
          <w:p w14:paraId="36D27B2A" w14:textId="3ECFDB48" w:rsidR="006D4D84" w:rsidRPr="00962A53" w:rsidRDefault="006D4D84" w:rsidP="009D4255">
            <w:pPr>
              <w:spacing w:after="0" w:line="240" w:lineRule="auto"/>
              <w:rPr>
                <w:rFonts w:ascii="Calibri" w:eastAsia="Times New Roman" w:hAnsi="Calibri" w:cs="Calibri"/>
                <w:color w:val="000000"/>
              </w:rPr>
            </w:pPr>
            <w:r w:rsidRPr="00962A53">
              <w:rPr>
                <w:rFonts w:ascii="Calibri" w:eastAsia="Times New Roman" w:hAnsi="Calibri" w:cs="Calibri"/>
                <w:color w:val="000000"/>
              </w:rPr>
              <w:t>Oil &amp; natural gas</w:t>
            </w:r>
          </w:p>
        </w:tc>
      </w:tr>
      <w:tr w:rsidR="006D4D84" w:rsidRPr="00962A53" w14:paraId="27FA1D41" w14:textId="2CF951B5" w:rsidTr="009D4255">
        <w:trPr>
          <w:trHeight w:val="402"/>
          <w:tblCellSpacing w:w="0" w:type="dxa"/>
        </w:trPr>
        <w:tc>
          <w:tcPr>
            <w:tcW w:w="3690" w:type="dxa"/>
            <w:tcBorders>
              <w:top w:val="outset" w:sz="6" w:space="0" w:color="D0D7E5"/>
              <w:left w:val="outset" w:sz="6" w:space="0" w:color="D0D7E5"/>
              <w:right w:val="outset" w:sz="6" w:space="0" w:color="D0D7E5"/>
            </w:tcBorders>
            <w:shd w:val="clear" w:color="auto" w:fill="FFFFFF"/>
            <w:vAlign w:val="center"/>
            <w:hideMark/>
          </w:tcPr>
          <w:p w14:paraId="12823363" w14:textId="586A057C" w:rsidR="006D4D84" w:rsidRPr="00962A53" w:rsidRDefault="006D4D84" w:rsidP="009D4255">
            <w:pPr>
              <w:spacing w:after="0" w:line="240" w:lineRule="auto"/>
              <w:rPr>
                <w:rFonts w:ascii="Times New Roman" w:eastAsia="Times New Roman" w:hAnsi="Times New Roman" w:cs="Times New Roman"/>
                <w:sz w:val="24"/>
                <w:szCs w:val="24"/>
              </w:rPr>
            </w:pPr>
            <w:r w:rsidRPr="00962A53">
              <w:rPr>
                <w:rFonts w:ascii="Calibri" w:eastAsia="Times New Roman" w:hAnsi="Calibri" w:cs="Calibri"/>
                <w:color w:val="000000"/>
              </w:rPr>
              <w:t>21221</w:t>
            </w:r>
            <w:r>
              <w:rPr>
                <w:rFonts w:ascii="Calibri" w:eastAsia="Times New Roman" w:hAnsi="Calibri" w:cs="Calibri"/>
                <w:color w:val="000000"/>
              </w:rPr>
              <w:t xml:space="preserve">, </w:t>
            </w:r>
            <w:r w:rsidRPr="00962A53">
              <w:rPr>
                <w:rFonts w:ascii="Calibri" w:eastAsia="Times New Roman" w:hAnsi="Calibri" w:cs="Calibri"/>
                <w:color w:val="000000"/>
              </w:rPr>
              <w:t>212210</w:t>
            </w:r>
          </w:p>
        </w:tc>
        <w:tc>
          <w:tcPr>
            <w:tcW w:w="3645" w:type="dxa"/>
            <w:tcBorders>
              <w:top w:val="outset" w:sz="6" w:space="0" w:color="D0D7E5"/>
              <w:left w:val="outset" w:sz="6" w:space="0" w:color="D0D7E5"/>
              <w:right w:val="outset" w:sz="6" w:space="0" w:color="D0D7E5"/>
            </w:tcBorders>
            <w:shd w:val="clear" w:color="auto" w:fill="FFFFFF"/>
            <w:vAlign w:val="center"/>
          </w:tcPr>
          <w:p w14:paraId="73C05F52" w14:textId="07DFA4A2" w:rsidR="006D4D84" w:rsidRPr="00962A53" w:rsidRDefault="006D4D84" w:rsidP="009D4255">
            <w:pPr>
              <w:spacing w:after="0" w:line="240" w:lineRule="auto"/>
              <w:rPr>
                <w:rFonts w:ascii="Calibri" w:eastAsia="Times New Roman" w:hAnsi="Calibri" w:cs="Calibri"/>
                <w:color w:val="000000"/>
              </w:rPr>
            </w:pPr>
            <w:r w:rsidRPr="00962A53">
              <w:rPr>
                <w:rFonts w:ascii="Calibri" w:eastAsia="Times New Roman" w:hAnsi="Calibri" w:cs="Calibri"/>
                <w:color w:val="000000"/>
              </w:rPr>
              <w:t>Taconite mining</w:t>
            </w:r>
          </w:p>
        </w:tc>
      </w:tr>
      <w:tr w:rsidR="006D4D84" w:rsidRPr="00962A53" w14:paraId="4325CA4A" w14:textId="587678C5" w:rsidTr="009D4255">
        <w:trPr>
          <w:trHeight w:val="672"/>
          <w:tblCellSpacing w:w="0" w:type="dxa"/>
        </w:trPr>
        <w:tc>
          <w:tcPr>
            <w:tcW w:w="3690" w:type="dxa"/>
            <w:tcBorders>
              <w:top w:val="outset" w:sz="6" w:space="0" w:color="D0D7E5"/>
              <w:left w:val="outset" w:sz="6" w:space="0" w:color="D0D7E5"/>
              <w:right w:val="outset" w:sz="6" w:space="0" w:color="D0D7E5"/>
            </w:tcBorders>
            <w:shd w:val="clear" w:color="auto" w:fill="FFFFFF"/>
            <w:vAlign w:val="center"/>
            <w:hideMark/>
          </w:tcPr>
          <w:p w14:paraId="44CB37BB" w14:textId="16B57FA1" w:rsidR="006D4D84" w:rsidRPr="00962A53" w:rsidRDefault="006D4D84" w:rsidP="009D4255">
            <w:pPr>
              <w:spacing w:after="0" w:line="240" w:lineRule="auto"/>
              <w:rPr>
                <w:rFonts w:ascii="Times New Roman" w:eastAsia="Times New Roman" w:hAnsi="Times New Roman" w:cs="Times New Roman"/>
                <w:sz w:val="24"/>
                <w:szCs w:val="24"/>
              </w:rPr>
            </w:pPr>
            <w:r w:rsidRPr="00962A53">
              <w:rPr>
                <w:rFonts w:ascii="Calibri" w:eastAsia="Times New Roman" w:hAnsi="Calibri" w:cs="Calibri"/>
                <w:color w:val="000000"/>
              </w:rPr>
              <w:t>213111</w:t>
            </w:r>
            <w:r>
              <w:rPr>
                <w:rFonts w:ascii="Calibri" w:eastAsia="Times New Roman" w:hAnsi="Calibri" w:cs="Calibri"/>
                <w:color w:val="000000"/>
              </w:rPr>
              <w:t xml:space="preserve">, </w:t>
            </w:r>
            <w:r w:rsidRPr="00962A53">
              <w:rPr>
                <w:rFonts w:ascii="Calibri" w:eastAsia="Times New Roman" w:hAnsi="Calibri" w:cs="Calibri"/>
                <w:color w:val="000000"/>
              </w:rPr>
              <w:t>213112</w:t>
            </w:r>
            <w:r>
              <w:rPr>
                <w:rFonts w:ascii="Calibri" w:eastAsia="Times New Roman" w:hAnsi="Calibri" w:cs="Calibri"/>
                <w:color w:val="000000"/>
              </w:rPr>
              <w:t xml:space="preserve">, </w:t>
            </w:r>
            <w:r w:rsidRPr="00962A53">
              <w:rPr>
                <w:rFonts w:ascii="Calibri" w:eastAsia="Times New Roman" w:hAnsi="Calibri" w:cs="Calibri"/>
                <w:color w:val="000000"/>
              </w:rPr>
              <w:t>2212</w:t>
            </w:r>
            <w:r w:rsidR="009D4255">
              <w:rPr>
                <w:rFonts w:ascii="Calibri" w:eastAsia="Times New Roman" w:hAnsi="Calibri" w:cs="Calibri"/>
                <w:color w:val="000000"/>
              </w:rPr>
              <w:t xml:space="preserve">, </w:t>
            </w:r>
            <w:r w:rsidRPr="00962A53">
              <w:rPr>
                <w:rFonts w:ascii="Calibri" w:eastAsia="Times New Roman" w:hAnsi="Calibri" w:cs="Calibri"/>
                <w:color w:val="000000"/>
              </w:rPr>
              <w:t>22121</w:t>
            </w:r>
            <w:r>
              <w:rPr>
                <w:rFonts w:ascii="Calibri" w:eastAsia="Times New Roman" w:hAnsi="Calibri" w:cs="Calibri"/>
                <w:color w:val="000000"/>
              </w:rPr>
              <w:t xml:space="preserve">, </w:t>
            </w:r>
            <w:r w:rsidRPr="00962A53">
              <w:rPr>
                <w:rFonts w:ascii="Calibri" w:eastAsia="Times New Roman" w:hAnsi="Calibri" w:cs="Calibri"/>
                <w:color w:val="000000"/>
              </w:rPr>
              <w:t>221210</w:t>
            </w:r>
            <w:r>
              <w:rPr>
                <w:rFonts w:ascii="Calibri" w:eastAsia="Times New Roman" w:hAnsi="Calibri" w:cs="Calibri"/>
                <w:color w:val="000000"/>
              </w:rPr>
              <w:t xml:space="preserve">, </w:t>
            </w:r>
            <w:r w:rsidRPr="00962A53">
              <w:rPr>
                <w:rFonts w:ascii="Calibri" w:eastAsia="Times New Roman" w:hAnsi="Calibri" w:cs="Calibri"/>
                <w:color w:val="000000"/>
              </w:rPr>
              <w:t>237120</w:t>
            </w:r>
          </w:p>
        </w:tc>
        <w:tc>
          <w:tcPr>
            <w:tcW w:w="3645" w:type="dxa"/>
            <w:tcBorders>
              <w:top w:val="outset" w:sz="6" w:space="0" w:color="D0D7E5"/>
              <w:left w:val="outset" w:sz="6" w:space="0" w:color="D0D7E5"/>
              <w:right w:val="outset" w:sz="6" w:space="0" w:color="D0D7E5"/>
            </w:tcBorders>
            <w:shd w:val="clear" w:color="auto" w:fill="FFFFFF"/>
            <w:vAlign w:val="center"/>
          </w:tcPr>
          <w:p w14:paraId="540407E4" w14:textId="1B589DCD" w:rsidR="006D4D84" w:rsidRPr="00962A53" w:rsidRDefault="006D4D84" w:rsidP="009D4255">
            <w:pPr>
              <w:spacing w:after="0" w:line="240" w:lineRule="auto"/>
              <w:rPr>
                <w:rFonts w:ascii="Calibri" w:eastAsia="Times New Roman" w:hAnsi="Calibri" w:cs="Calibri"/>
                <w:color w:val="000000"/>
              </w:rPr>
            </w:pPr>
            <w:r w:rsidRPr="00962A53">
              <w:rPr>
                <w:rFonts w:ascii="Calibri" w:eastAsia="Times New Roman" w:hAnsi="Calibri" w:cs="Calibri"/>
                <w:color w:val="000000"/>
              </w:rPr>
              <w:t>Oil &amp; natural gas</w:t>
            </w:r>
          </w:p>
        </w:tc>
      </w:tr>
      <w:tr w:rsidR="006D4D84" w:rsidRPr="00962A53" w14:paraId="6364AD86" w14:textId="74ACAF2E" w:rsidTr="009D4255">
        <w:trPr>
          <w:trHeight w:val="411"/>
          <w:tblCellSpacing w:w="0" w:type="dxa"/>
        </w:trPr>
        <w:tc>
          <w:tcPr>
            <w:tcW w:w="3690" w:type="dxa"/>
            <w:tcBorders>
              <w:top w:val="outset" w:sz="6" w:space="0" w:color="D0D7E5"/>
              <w:left w:val="outset" w:sz="6" w:space="0" w:color="D0D7E5"/>
              <w:right w:val="outset" w:sz="6" w:space="0" w:color="D0D7E5"/>
            </w:tcBorders>
            <w:shd w:val="clear" w:color="auto" w:fill="FFFFFF"/>
            <w:vAlign w:val="center"/>
            <w:hideMark/>
          </w:tcPr>
          <w:p w14:paraId="15406B65" w14:textId="5D1646C5" w:rsidR="006D4D84" w:rsidRPr="00962A53" w:rsidRDefault="006D4D84" w:rsidP="009D4255">
            <w:pPr>
              <w:spacing w:after="0" w:line="240" w:lineRule="auto"/>
              <w:rPr>
                <w:rFonts w:ascii="Times New Roman" w:eastAsia="Times New Roman" w:hAnsi="Times New Roman" w:cs="Times New Roman"/>
                <w:sz w:val="24"/>
                <w:szCs w:val="24"/>
              </w:rPr>
            </w:pPr>
            <w:r w:rsidRPr="00962A53">
              <w:rPr>
                <w:rFonts w:ascii="Calibri" w:eastAsia="Times New Roman" w:hAnsi="Calibri" w:cs="Calibri"/>
                <w:color w:val="000000"/>
              </w:rPr>
              <w:t>32411</w:t>
            </w:r>
            <w:r>
              <w:rPr>
                <w:rFonts w:ascii="Calibri" w:eastAsia="Times New Roman" w:hAnsi="Calibri" w:cs="Calibri"/>
                <w:color w:val="000000"/>
              </w:rPr>
              <w:t xml:space="preserve">, </w:t>
            </w:r>
            <w:r w:rsidRPr="00962A53">
              <w:rPr>
                <w:rFonts w:ascii="Calibri" w:eastAsia="Times New Roman" w:hAnsi="Calibri" w:cs="Calibri"/>
                <w:color w:val="000000"/>
              </w:rPr>
              <w:t>324110</w:t>
            </w:r>
          </w:p>
        </w:tc>
        <w:tc>
          <w:tcPr>
            <w:tcW w:w="3645" w:type="dxa"/>
            <w:tcBorders>
              <w:top w:val="outset" w:sz="6" w:space="0" w:color="D0D7E5"/>
              <w:left w:val="outset" w:sz="6" w:space="0" w:color="D0D7E5"/>
              <w:right w:val="outset" w:sz="6" w:space="0" w:color="D0D7E5"/>
            </w:tcBorders>
            <w:shd w:val="clear" w:color="auto" w:fill="FFFFFF"/>
            <w:vAlign w:val="center"/>
          </w:tcPr>
          <w:p w14:paraId="1FC95E24" w14:textId="02FAA0DA" w:rsidR="006D4D84" w:rsidRPr="00962A53" w:rsidRDefault="006D4D84" w:rsidP="009D4255">
            <w:pPr>
              <w:spacing w:after="0" w:line="240" w:lineRule="auto"/>
              <w:rPr>
                <w:rFonts w:ascii="Calibri" w:eastAsia="Times New Roman" w:hAnsi="Calibri" w:cs="Calibri"/>
                <w:color w:val="000000"/>
              </w:rPr>
            </w:pPr>
            <w:r w:rsidRPr="00962A53">
              <w:rPr>
                <w:rFonts w:ascii="Calibri" w:eastAsia="Times New Roman" w:hAnsi="Calibri" w:cs="Calibri"/>
                <w:color w:val="000000"/>
              </w:rPr>
              <w:t>Refineries</w:t>
            </w:r>
          </w:p>
        </w:tc>
      </w:tr>
      <w:tr w:rsidR="009D4255" w:rsidRPr="00962A53" w14:paraId="6878BD4A" w14:textId="28640750" w:rsidTr="009D4255">
        <w:trPr>
          <w:trHeight w:val="402"/>
          <w:tblCellSpacing w:w="0" w:type="dxa"/>
        </w:trPr>
        <w:tc>
          <w:tcPr>
            <w:tcW w:w="3690" w:type="dxa"/>
            <w:tcBorders>
              <w:top w:val="outset" w:sz="6" w:space="0" w:color="D0D7E5"/>
              <w:left w:val="outset" w:sz="6" w:space="0" w:color="D0D7E5"/>
              <w:right w:val="outset" w:sz="6" w:space="0" w:color="D0D7E5"/>
            </w:tcBorders>
            <w:shd w:val="clear" w:color="auto" w:fill="FFFFFF"/>
            <w:vAlign w:val="center"/>
            <w:hideMark/>
          </w:tcPr>
          <w:p w14:paraId="13A2D2AC" w14:textId="69ABA08B" w:rsidR="009D4255" w:rsidRPr="00962A53" w:rsidRDefault="009D4255" w:rsidP="009D4255">
            <w:pPr>
              <w:spacing w:after="0" w:line="240" w:lineRule="auto"/>
              <w:rPr>
                <w:rFonts w:ascii="Times New Roman" w:eastAsia="Times New Roman" w:hAnsi="Times New Roman" w:cs="Times New Roman"/>
                <w:sz w:val="24"/>
                <w:szCs w:val="24"/>
              </w:rPr>
            </w:pPr>
            <w:r w:rsidRPr="00962A53">
              <w:rPr>
                <w:rFonts w:ascii="Calibri" w:eastAsia="Times New Roman" w:hAnsi="Calibri" w:cs="Calibri"/>
                <w:color w:val="000000"/>
              </w:rPr>
              <w:t>32519</w:t>
            </w:r>
            <w:r>
              <w:rPr>
                <w:rFonts w:ascii="Calibri" w:eastAsia="Times New Roman" w:hAnsi="Calibri" w:cs="Calibri"/>
                <w:color w:val="000000"/>
              </w:rPr>
              <w:t xml:space="preserve">, </w:t>
            </w:r>
            <w:r w:rsidRPr="00962A53">
              <w:rPr>
                <w:rFonts w:ascii="Calibri" w:eastAsia="Times New Roman" w:hAnsi="Calibri" w:cs="Calibri"/>
                <w:color w:val="000000"/>
              </w:rPr>
              <w:t>325193</w:t>
            </w:r>
            <w:r>
              <w:rPr>
                <w:rFonts w:ascii="Calibri" w:eastAsia="Times New Roman" w:hAnsi="Calibri" w:cs="Calibri"/>
                <w:color w:val="000000"/>
              </w:rPr>
              <w:t xml:space="preserve">, </w:t>
            </w:r>
            <w:r w:rsidRPr="00962A53">
              <w:rPr>
                <w:rFonts w:ascii="Calibri" w:eastAsia="Times New Roman" w:hAnsi="Calibri" w:cs="Calibri"/>
                <w:color w:val="000000"/>
              </w:rPr>
              <w:t>325194</w:t>
            </w:r>
            <w:r>
              <w:rPr>
                <w:rFonts w:ascii="Calibri" w:eastAsia="Times New Roman" w:hAnsi="Calibri" w:cs="Calibri"/>
                <w:color w:val="000000"/>
              </w:rPr>
              <w:t xml:space="preserve">, </w:t>
            </w:r>
            <w:r w:rsidRPr="00962A53">
              <w:rPr>
                <w:rFonts w:ascii="Calibri" w:eastAsia="Times New Roman" w:hAnsi="Calibri" w:cs="Calibri"/>
                <w:color w:val="000000"/>
              </w:rPr>
              <w:t>325199</w:t>
            </w:r>
          </w:p>
        </w:tc>
        <w:tc>
          <w:tcPr>
            <w:tcW w:w="3645" w:type="dxa"/>
            <w:tcBorders>
              <w:top w:val="outset" w:sz="6" w:space="0" w:color="D0D7E5"/>
              <w:left w:val="outset" w:sz="6" w:space="0" w:color="D0D7E5"/>
              <w:right w:val="outset" w:sz="6" w:space="0" w:color="D0D7E5"/>
            </w:tcBorders>
            <w:shd w:val="clear" w:color="auto" w:fill="FFFFFF"/>
            <w:vAlign w:val="center"/>
          </w:tcPr>
          <w:p w14:paraId="20794402" w14:textId="74A8A7BA" w:rsidR="009D4255" w:rsidRPr="00962A53" w:rsidRDefault="009D4255" w:rsidP="009D4255">
            <w:pPr>
              <w:spacing w:after="0" w:line="240" w:lineRule="auto"/>
              <w:rPr>
                <w:rFonts w:ascii="Calibri" w:eastAsia="Times New Roman" w:hAnsi="Calibri" w:cs="Calibri"/>
                <w:color w:val="000000"/>
              </w:rPr>
            </w:pPr>
            <w:r w:rsidRPr="00962A53">
              <w:rPr>
                <w:rFonts w:ascii="Calibri" w:eastAsia="Times New Roman" w:hAnsi="Calibri" w:cs="Calibri"/>
                <w:color w:val="000000"/>
              </w:rPr>
              <w:t>Synthetic Organic Chemical Industry</w:t>
            </w:r>
          </w:p>
        </w:tc>
      </w:tr>
      <w:tr w:rsidR="009D4255" w:rsidRPr="00962A53" w14:paraId="37615AFF" w14:textId="6E2FD9FB" w:rsidTr="009D4255">
        <w:trPr>
          <w:trHeight w:val="402"/>
          <w:tblCellSpacing w:w="0" w:type="dxa"/>
        </w:trPr>
        <w:tc>
          <w:tcPr>
            <w:tcW w:w="3690" w:type="dxa"/>
            <w:tcBorders>
              <w:top w:val="outset" w:sz="6" w:space="0" w:color="D0D7E5"/>
              <w:left w:val="outset" w:sz="6" w:space="0" w:color="D0D7E5"/>
              <w:right w:val="outset" w:sz="6" w:space="0" w:color="D0D7E5"/>
            </w:tcBorders>
            <w:shd w:val="clear" w:color="auto" w:fill="FFFFFF"/>
            <w:vAlign w:val="center"/>
            <w:hideMark/>
          </w:tcPr>
          <w:p w14:paraId="4D40509C" w14:textId="6DFA3ECB" w:rsidR="009D4255" w:rsidRPr="00962A53" w:rsidRDefault="009D4255" w:rsidP="009D4255">
            <w:pPr>
              <w:keepNext/>
              <w:spacing w:after="0" w:line="240" w:lineRule="auto"/>
              <w:rPr>
                <w:rFonts w:ascii="Times New Roman" w:eastAsia="Times New Roman" w:hAnsi="Times New Roman" w:cs="Times New Roman"/>
                <w:sz w:val="24"/>
                <w:szCs w:val="24"/>
              </w:rPr>
            </w:pPr>
            <w:r w:rsidRPr="00962A53">
              <w:rPr>
                <w:rFonts w:ascii="Calibri" w:eastAsia="Times New Roman" w:hAnsi="Calibri" w:cs="Calibri"/>
                <w:color w:val="000000"/>
              </w:rPr>
              <w:t>327110</w:t>
            </w:r>
            <w:r>
              <w:rPr>
                <w:rFonts w:ascii="Calibri" w:eastAsia="Times New Roman" w:hAnsi="Calibri" w:cs="Calibri"/>
                <w:color w:val="000000"/>
              </w:rPr>
              <w:t xml:space="preserve">, </w:t>
            </w:r>
            <w:r w:rsidRPr="00962A53">
              <w:rPr>
                <w:rFonts w:ascii="Calibri" w:eastAsia="Times New Roman" w:hAnsi="Calibri" w:cs="Calibri"/>
                <w:color w:val="000000"/>
              </w:rPr>
              <w:t>327120</w:t>
            </w:r>
            <w:r>
              <w:rPr>
                <w:rFonts w:ascii="Calibri" w:eastAsia="Times New Roman" w:hAnsi="Calibri" w:cs="Calibri"/>
                <w:color w:val="000000"/>
              </w:rPr>
              <w:t xml:space="preserve">, </w:t>
            </w:r>
            <w:r w:rsidRPr="00962A53">
              <w:rPr>
                <w:rFonts w:ascii="Calibri" w:eastAsia="Times New Roman" w:hAnsi="Calibri" w:cs="Calibri"/>
                <w:color w:val="000000"/>
              </w:rPr>
              <w:t>327331</w:t>
            </w:r>
          </w:p>
        </w:tc>
        <w:tc>
          <w:tcPr>
            <w:tcW w:w="3645" w:type="dxa"/>
            <w:tcBorders>
              <w:top w:val="outset" w:sz="6" w:space="0" w:color="D0D7E5"/>
              <w:left w:val="outset" w:sz="6" w:space="0" w:color="D0D7E5"/>
              <w:right w:val="outset" w:sz="6" w:space="0" w:color="D0D7E5"/>
            </w:tcBorders>
            <w:shd w:val="clear" w:color="auto" w:fill="FFFFFF"/>
            <w:vAlign w:val="center"/>
          </w:tcPr>
          <w:p w14:paraId="3CCA5F21" w14:textId="4CC63531" w:rsidR="009D4255" w:rsidRPr="00962A53" w:rsidRDefault="009D4255" w:rsidP="009D4255">
            <w:pPr>
              <w:spacing w:after="0" w:line="240" w:lineRule="auto"/>
              <w:rPr>
                <w:rFonts w:ascii="Calibri" w:eastAsia="Times New Roman" w:hAnsi="Calibri" w:cs="Calibri"/>
                <w:color w:val="000000"/>
              </w:rPr>
            </w:pPr>
            <w:r w:rsidRPr="00962A53">
              <w:rPr>
                <w:rFonts w:ascii="Calibri" w:eastAsia="Times New Roman" w:hAnsi="Calibri" w:cs="Calibri"/>
                <w:color w:val="000000"/>
              </w:rPr>
              <w:t>Brick</w:t>
            </w:r>
          </w:p>
        </w:tc>
      </w:tr>
      <w:tr w:rsidR="009D4255" w:rsidRPr="00962A53" w14:paraId="076A3A30" w14:textId="11AB1271" w:rsidTr="009D4255">
        <w:trPr>
          <w:trHeight w:val="411"/>
          <w:tblCellSpacing w:w="0" w:type="dxa"/>
        </w:trPr>
        <w:tc>
          <w:tcPr>
            <w:tcW w:w="3690" w:type="dxa"/>
            <w:tcBorders>
              <w:top w:val="outset" w:sz="6" w:space="0" w:color="D0D7E5"/>
              <w:left w:val="outset" w:sz="6" w:space="0" w:color="D0D7E5"/>
              <w:right w:val="outset" w:sz="6" w:space="0" w:color="D0D7E5"/>
            </w:tcBorders>
            <w:shd w:val="clear" w:color="auto" w:fill="FFFFFF"/>
            <w:vAlign w:val="center"/>
            <w:hideMark/>
          </w:tcPr>
          <w:p w14:paraId="1321814E" w14:textId="3E339962" w:rsidR="009D4255" w:rsidRPr="00962A53" w:rsidRDefault="009D4255" w:rsidP="009D4255">
            <w:pPr>
              <w:spacing w:after="0" w:line="240" w:lineRule="auto"/>
              <w:rPr>
                <w:rFonts w:ascii="Times New Roman" w:eastAsia="Times New Roman" w:hAnsi="Times New Roman" w:cs="Times New Roman"/>
                <w:sz w:val="24"/>
                <w:szCs w:val="24"/>
              </w:rPr>
            </w:pPr>
            <w:r w:rsidRPr="00962A53">
              <w:rPr>
                <w:rFonts w:ascii="Calibri" w:eastAsia="Times New Roman" w:hAnsi="Calibri" w:cs="Calibri"/>
                <w:color w:val="000000"/>
              </w:rPr>
              <w:t>33151</w:t>
            </w:r>
            <w:r>
              <w:rPr>
                <w:rFonts w:ascii="Calibri" w:eastAsia="Times New Roman" w:hAnsi="Calibri" w:cs="Calibri"/>
                <w:color w:val="000000"/>
              </w:rPr>
              <w:t xml:space="preserve">, </w:t>
            </w:r>
            <w:r w:rsidRPr="00962A53">
              <w:rPr>
                <w:rFonts w:ascii="Calibri" w:eastAsia="Times New Roman" w:hAnsi="Calibri" w:cs="Calibri"/>
                <w:color w:val="000000"/>
              </w:rPr>
              <w:t>331511</w:t>
            </w:r>
            <w:r>
              <w:rPr>
                <w:rFonts w:ascii="Calibri" w:eastAsia="Times New Roman" w:hAnsi="Calibri" w:cs="Calibri"/>
                <w:color w:val="000000"/>
              </w:rPr>
              <w:t xml:space="preserve">, </w:t>
            </w:r>
            <w:r w:rsidRPr="00962A53">
              <w:rPr>
                <w:rFonts w:ascii="Calibri" w:eastAsia="Times New Roman" w:hAnsi="Calibri" w:cs="Calibri"/>
                <w:color w:val="000000"/>
              </w:rPr>
              <w:t>331512</w:t>
            </w:r>
            <w:r>
              <w:rPr>
                <w:rFonts w:ascii="Calibri" w:eastAsia="Times New Roman" w:hAnsi="Calibri" w:cs="Calibri"/>
                <w:color w:val="000000"/>
              </w:rPr>
              <w:t xml:space="preserve">, </w:t>
            </w:r>
            <w:r w:rsidRPr="00962A53">
              <w:rPr>
                <w:rFonts w:ascii="Calibri" w:eastAsia="Times New Roman" w:hAnsi="Calibri" w:cs="Calibri"/>
                <w:color w:val="000000"/>
              </w:rPr>
              <w:t>331513</w:t>
            </w:r>
          </w:p>
        </w:tc>
        <w:tc>
          <w:tcPr>
            <w:tcW w:w="3645" w:type="dxa"/>
            <w:tcBorders>
              <w:top w:val="outset" w:sz="6" w:space="0" w:color="D0D7E5"/>
              <w:left w:val="outset" w:sz="6" w:space="0" w:color="D0D7E5"/>
              <w:right w:val="outset" w:sz="6" w:space="0" w:color="D0D7E5"/>
            </w:tcBorders>
            <w:shd w:val="clear" w:color="auto" w:fill="FFFFFF"/>
            <w:vAlign w:val="center"/>
          </w:tcPr>
          <w:p w14:paraId="6AEF4207" w14:textId="4E7516DD" w:rsidR="009D4255" w:rsidRPr="00962A53" w:rsidRDefault="009D4255" w:rsidP="009D4255">
            <w:pPr>
              <w:spacing w:after="0" w:line="240" w:lineRule="auto"/>
              <w:rPr>
                <w:rFonts w:ascii="Calibri" w:eastAsia="Times New Roman" w:hAnsi="Calibri" w:cs="Calibri"/>
                <w:color w:val="000000"/>
              </w:rPr>
            </w:pPr>
            <w:r w:rsidRPr="00962A53">
              <w:rPr>
                <w:rFonts w:ascii="Calibri" w:eastAsia="Times New Roman" w:hAnsi="Calibri" w:cs="Calibri"/>
                <w:color w:val="000000"/>
              </w:rPr>
              <w:t>Iron and steel foundries</w:t>
            </w:r>
          </w:p>
        </w:tc>
      </w:tr>
      <w:tr w:rsidR="009D4255" w:rsidRPr="00962A53" w14:paraId="5AC73E24" w14:textId="481F99D5" w:rsidTr="009D4255">
        <w:trPr>
          <w:trHeight w:val="591"/>
          <w:tblCellSpacing w:w="0" w:type="dxa"/>
        </w:trPr>
        <w:tc>
          <w:tcPr>
            <w:tcW w:w="3690" w:type="dxa"/>
            <w:tcBorders>
              <w:top w:val="outset" w:sz="6" w:space="0" w:color="D0D7E5"/>
              <w:left w:val="outset" w:sz="6" w:space="0" w:color="D0D7E5"/>
              <w:right w:val="outset" w:sz="6" w:space="0" w:color="D0D7E5"/>
            </w:tcBorders>
            <w:shd w:val="clear" w:color="auto" w:fill="FFFFFF"/>
            <w:vAlign w:val="center"/>
            <w:hideMark/>
          </w:tcPr>
          <w:p w14:paraId="031BC0FC" w14:textId="54B1687F" w:rsidR="009D4255" w:rsidRPr="00962A53" w:rsidRDefault="009D4255" w:rsidP="009D4255">
            <w:pPr>
              <w:spacing w:after="0" w:line="240" w:lineRule="auto"/>
              <w:rPr>
                <w:rFonts w:ascii="Times New Roman" w:eastAsia="Times New Roman" w:hAnsi="Times New Roman" w:cs="Times New Roman"/>
                <w:sz w:val="24"/>
                <w:szCs w:val="24"/>
              </w:rPr>
            </w:pPr>
            <w:r w:rsidRPr="00962A53">
              <w:rPr>
                <w:rFonts w:ascii="Calibri" w:eastAsia="Times New Roman" w:hAnsi="Calibri" w:cs="Calibri"/>
                <w:color w:val="000000"/>
              </w:rPr>
              <w:t>4861</w:t>
            </w:r>
            <w:r>
              <w:rPr>
                <w:rFonts w:ascii="Calibri" w:eastAsia="Times New Roman" w:hAnsi="Calibri" w:cs="Calibri"/>
                <w:color w:val="000000"/>
              </w:rPr>
              <w:t xml:space="preserve">, </w:t>
            </w:r>
            <w:r w:rsidRPr="00962A53">
              <w:rPr>
                <w:rFonts w:ascii="Calibri" w:eastAsia="Times New Roman" w:hAnsi="Calibri" w:cs="Calibri"/>
                <w:color w:val="000000"/>
              </w:rPr>
              <w:t>48611</w:t>
            </w:r>
            <w:r>
              <w:rPr>
                <w:rFonts w:ascii="Calibri" w:eastAsia="Times New Roman" w:hAnsi="Calibri" w:cs="Calibri"/>
                <w:color w:val="000000"/>
              </w:rPr>
              <w:t xml:space="preserve">, </w:t>
            </w:r>
            <w:r w:rsidRPr="00962A53">
              <w:rPr>
                <w:rFonts w:ascii="Calibri" w:eastAsia="Times New Roman" w:hAnsi="Calibri" w:cs="Calibri"/>
                <w:color w:val="000000"/>
              </w:rPr>
              <w:t>486110</w:t>
            </w:r>
            <w:r>
              <w:rPr>
                <w:rFonts w:ascii="Calibri" w:eastAsia="Times New Roman" w:hAnsi="Calibri" w:cs="Calibri"/>
                <w:color w:val="000000"/>
              </w:rPr>
              <w:t xml:space="preserve">, </w:t>
            </w:r>
            <w:r w:rsidRPr="00962A53">
              <w:rPr>
                <w:rFonts w:ascii="Calibri" w:eastAsia="Times New Roman" w:hAnsi="Calibri" w:cs="Calibri"/>
                <w:color w:val="000000"/>
              </w:rPr>
              <w:t>4862</w:t>
            </w:r>
            <w:r>
              <w:rPr>
                <w:rFonts w:ascii="Calibri" w:eastAsia="Times New Roman" w:hAnsi="Calibri" w:cs="Calibri"/>
                <w:color w:val="000000"/>
              </w:rPr>
              <w:t xml:space="preserve">, </w:t>
            </w:r>
            <w:r w:rsidRPr="00962A53">
              <w:rPr>
                <w:rFonts w:ascii="Calibri" w:eastAsia="Times New Roman" w:hAnsi="Calibri" w:cs="Calibri"/>
                <w:color w:val="000000"/>
              </w:rPr>
              <w:t>48621</w:t>
            </w:r>
            <w:r>
              <w:rPr>
                <w:rFonts w:ascii="Calibri" w:eastAsia="Times New Roman" w:hAnsi="Calibri" w:cs="Calibri"/>
                <w:color w:val="000000"/>
              </w:rPr>
              <w:t xml:space="preserve">, </w:t>
            </w:r>
            <w:r w:rsidRPr="00962A53">
              <w:rPr>
                <w:rFonts w:ascii="Calibri" w:eastAsia="Times New Roman" w:hAnsi="Calibri" w:cs="Calibri"/>
                <w:color w:val="000000"/>
              </w:rPr>
              <w:t>486210</w:t>
            </w:r>
          </w:p>
        </w:tc>
        <w:tc>
          <w:tcPr>
            <w:tcW w:w="3645" w:type="dxa"/>
            <w:tcBorders>
              <w:top w:val="outset" w:sz="6" w:space="0" w:color="D0D7E5"/>
              <w:left w:val="outset" w:sz="6" w:space="0" w:color="D0D7E5"/>
              <w:right w:val="outset" w:sz="6" w:space="0" w:color="D0D7E5"/>
            </w:tcBorders>
            <w:shd w:val="clear" w:color="auto" w:fill="FFFFFF"/>
            <w:vAlign w:val="center"/>
          </w:tcPr>
          <w:p w14:paraId="7F5D5648" w14:textId="2C8711C9" w:rsidR="009D4255" w:rsidRPr="00962A53" w:rsidRDefault="009D4255" w:rsidP="009D4255">
            <w:pPr>
              <w:spacing w:after="0" w:line="240" w:lineRule="auto"/>
              <w:rPr>
                <w:rFonts w:ascii="Calibri" w:eastAsia="Times New Roman" w:hAnsi="Calibri" w:cs="Calibri"/>
                <w:color w:val="000000"/>
              </w:rPr>
            </w:pPr>
            <w:r w:rsidRPr="00962A53">
              <w:rPr>
                <w:rFonts w:ascii="Calibri" w:eastAsia="Times New Roman" w:hAnsi="Calibri" w:cs="Calibri"/>
                <w:color w:val="000000"/>
              </w:rPr>
              <w:t>Oil &amp; natural gas transmissions</w:t>
            </w:r>
          </w:p>
        </w:tc>
      </w:tr>
    </w:tbl>
    <w:p w14:paraId="561F70F4" w14:textId="77777777" w:rsidR="00962A53" w:rsidRDefault="00962A53" w:rsidP="00962A53"/>
    <w:p w14:paraId="5DD2842D" w14:textId="3D5E72B0" w:rsidR="00962A53" w:rsidRDefault="00962A53" w:rsidP="00962A53">
      <w:r>
        <w:t xml:space="preserve">Additional NAICS codes were used to set the following sectors, </w:t>
      </w:r>
      <w:r w:rsidRPr="006D4D84">
        <w:rPr>
          <w:u w:val="single"/>
        </w:rPr>
        <w:t>after</w:t>
      </w:r>
      <w:r>
        <w:t xml:space="preserve"> the SCCs were applied</w:t>
      </w:r>
      <w:r w:rsidR="006D4D84">
        <w:t>.   These sectors are in addition to the sectors included for source apportionment, and they were created based on large emissions of GHGs, CAPs, or HAPs to add sectors that were otherwise be lumped together.  All point sources besides these were lumped into “Other Point”.</w:t>
      </w:r>
    </w:p>
    <w:p w14:paraId="42461A17" w14:textId="06406C52" w:rsidR="00550184" w:rsidRDefault="00550184" w:rsidP="00550184">
      <w:pPr>
        <w:pStyle w:val="Caption"/>
      </w:pPr>
      <w:r>
        <w:lastRenderedPageBreak/>
        <w:t xml:space="preserve">Table </w:t>
      </w:r>
      <w:r>
        <w:fldChar w:fldCharType="begin"/>
      </w:r>
      <w:r>
        <w:instrText xml:space="preserve"> SEQ Table \* ARABIC </w:instrText>
      </w:r>
      <w:r>
        <w:fldChar w:fldCharType="separate"/>
      </w:r>
      <w:r>
        <w:rPr>
          <w:noProof/>
        </w:rPr>
        <w:t>6</w:t>
      </w:r>
      <w:r>
        <w:fldChar w:fldCharType="end"/>
      </w:r>
      <w:r>
        <w:t xml:space="preserve">: NAICS codes used to set sectors </w:t>
      </w:r>
      <w:r>
        <w:t>after</w:t>
      </w:r>
      <w:r>
        <w:t xml:space="preserve"> SCC-based sectors</w:t>
      </w:r>
      <w:r w:rsidR="004C6DF5">
        <w:t xml:space="preserve"> and other NAICS sectors</w:t>
      </w:r>
      <w:r>
        <w:t xml:space="preserve"> were applied.</w:t>
      </w:r>
    </w:p>
    <w:tbl>
      <w:tblPr>
        <w:tblW w:w="8692" w:type="dxa"/>
        <w:tblCellSpacing w:w="0" w:type="dxa"/>
        <w:tblInd w:w="-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72"/>
        <w:gridCol w:w="4988"/>
        <w:gridCol w:w="2932"/>
      </w:tblGrid>
      <w:tr w:rsidR="009D4255" w:rsidRPr="006D4D84" w14:paraId="4064F0EC" w14:textId="7500F5F5" w:rsidTr="000422F8">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668F492" w14:textId="77777777" w:rsidR="009D4255" w:rsidRPr="000422F8" w:rsidRDefault="009D4255" w:rsidP="009D4255">
            <w:pPr>
              <w:spacing w:after="0" w:line="240" w:lineRule="auto"/>
              <w:rPr>
                <w:rFonts w:eastAsia="Times New Roman" w:cstheme="minorHAnsi"/>
                <w:b/>
                <w:bCs/>
                <w:sz w:val="20"/>
                <w:szCs w:val="20"/>
              </w:rPr>
            </w:pPr>
            <w:r w:rsidRPr="000422F8">
              <w:rPr>
                <w:rFonts w:eastAsia="Times New Roman" w:cstheme="minorHAnsi"/>
                <w:b/>
                <w:bCs/>
                <w:color w:val="000000"/>
                <w:sz w:val="20"/>
                <w:szCs w:val="20"/>
              </w:rPr>
              <w:t>Code</w:t>
            </w:r>
          </w:p>
        </w:tc>
        <w:tc>
          <w:tcPr>
            <w:tcW w:w="498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AD1DF00" w14:textId="77777777" w:rsidR="009D4255" w:rsidRPr="000422F8" w:rsidRDefault="009D4255" w:rsidP="006D4D84">
            <w:pPr>
              <w:spacing w:after="0" w:line="240" w:lineRule="auto"/>
              <w:jc w:val="center"/>
              <w:rPr>
                <w:rFonts w:eastAsia="Times New Roman" w:cstheme="minorHAnsi"/>
                <w:b/>
                <w:bCs/>
                <w:sz w:val="20"/>
                <w:szCs w:val="20"/>
              </w:rPr>
            </w:pPr>
            <w:r w:rsidRPr="000422F8">
              <w:rPr>
                <w:rFonts w:eastAsia="Times New Roman" w:cstheme="minorHAnsi"/>
                <w:b/>
                <w:bCs/>
                <w:color w:val="000000"/>
                <w:sz w:val="20"/>
                <w:szCs w:val="20"/>
              </w:rPr>
              <w:t>Full NAICS description</w:t>
            </w:r>
          </w:p>
        </w:tc>
        <w:tc>
          <w:tcPr>
            <w:tcW w:w="2932" w:type="dxa"/>
            <w:tcBorders>
              <w:top w:val="outset" w:sz="6" w:space="0" w:color="000000"/>
              <w:left w:val="outset" w:sz="6" w:space="0" w:color="000000"/>
              <w:bottom w:val="outset" w:sz="6" w:space="0" w:color="000000"/>
              <w:right w:val="outset" w:sz="6" w:space="0" w:color="000000"/>
            </w:tcBorders>
            <w:shd w:val="clear" w:color="auto" w:fill="C0C0C0"/>
          </w:tcPr>
          <w:p w14:paraId="40E8B6EF" w14:textId="71A65BCF" w:rsidR="009D4255" w:rsidRPr="000422F8" w:rsidRDefault="000422F8" w:rsidP="006D4D84">
            <w:pPr>
              <w:spacing w:after="0" w:line="240" w:lineRule="auto"/>
              <w:jc w:val="center"/>
              <w:rPr>
                <w:rFonts w:eastAsia="Times New Roman" w:cstheme="minorHAnsi"/>
                <w:b/>
                <w:bCs/>
                <w:color w:val="000000"/>
                <w:sz w:val="20"/>
                <w:szCs w:val="20"/>
              </w:rPr>
            </w:pPr>
            <w:r>
              <w:rPr>
                <w:rFonts w:eastAsia="Times New Roman" w:cstheme="minorHAnsi"/>
                <w:b/>
                <w:bCs/>
                <w:color w:val="000000"/>
                <w:sz w:val="20"/>
                <w:szCs w:val="20"/>
              </w:rPr>
              <w:t>Sector</w:t>
            </w:r>
          </w:p>
        </w:tc>
      </w:tr>
      <w:tr w:rsidR="009D4255" w:rsidRPr="006D4D84" w14:paraId="664B71FC" w14:textId="3ABEBD46"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B7B531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1C67A3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Utilities</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42700716" w14:textId="0BFAF049" w:rsidR="009D4255" w:rsidRPr="000422F8" w:rsidRDefault="009D4255" w:rsidP="009D4255">
            <w:pPr>
              <w:spacing w:after="0" w:line="240" w:lineRule="auto"/>
              <w:rPr>
                <w:rFonts w:eastAsia="Times New Roman" w:cstheme="minorHAnsi"/>
                <w:b/>
                <w:bCs/>
                <w:color w:val="000000"/>
                <w:sz w:val="20"/>
                <w:szCs w:val="20"/>
              </w:rPr>
            </w:pPr>
            <w:r w:rsidRPr="000422F8">
              <w:rPr>
                <w:rFonts w:eastAsia="Times New Roman" w:cstheme="minorHAnsi"/>
                <w:color w:val="000000"/>
                <w:sz w:val="20"/>
                <w:szCs w:val="20"/>
              </w:rPr>
              <w:t>EGUs</w:t>
            </w:r>
          </w:p>
        </w:tc>
      </w:tr>
      <w:tr w:rsidR="009D4255" w:rsidRPr="006D4D84" w14:paraId="213AA41B" w14:textId="5ECCBCF8"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760C0DC"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7E682F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Electric Power Generation, Transmission and Distribution</w:t>
            </w:r>
          </w:p>
        </w:tc>
        <w:tc>
          <w:tcPr>
            <w:tcW w:w="2932" w:type="dxa"/>
            <w:vMerge/>
            <w:tcBorders>
              <w:left w:val="outset" w:sz="6" w:space="0" w:color="D0D7E5"/>
              <w:right w:val="outset" w:sz="6" w:space="0" w:color="D0D7E5"/>
            </w:tcBorders>
            <w:shd w:val="clear" w:color="auto" w:fill="FFFFFF"/>
            <w:vAlign w:val="center"/>
          </w:tcPr>
          <w:p w14:paraId="6F7A5819" w14:textId="1562366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D1DDF46" w14:textId="4392A766"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1B6750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1B5F8F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Electric Power Generation</w:t>
            </w:r>
          </w:p>
        </w:tc>
        <w:tc>
          <w:tcPr>
            <w:tcW w:w="2932" w:type="dxa"/>
            <w:vMerge/>
            <w:tcBorders>
              <w:left w:val="outset" w:sz="6" w:space="0" w:color="D0D7E5"/>
              <w:right w:val="outset" w:sz="6" w:space="0" w:color="D0D7E5"/>
            </w:tcBorders>
            <w:shd w:val="clear" w:color="auto" w:fill="FFFFFF"/>
            <w:vAlign w:val="center"/>
          </w:tcPr>
          <w:p w14:paraId="6C2CD8AE" w14:textId="73CCB5B2"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92A1334" w14:textId="0F81893E"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006EC67F" w14:textId="0A1ABC8B"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221112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021BA232" w14:textId="6255F08E"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 xml:space="preserve">Fossil Fuel Electric Power Generation </w:t>
            </w:r>
          </w:p>
        </w:tc>
        <w:tc>
          <w:tcPr>
            <w:tcW w:w="2932" w:type="dxa"/>
            <w:vMerge/>
            <w:tcBorders>
              <w:left w:val="outset" w:sz="6" w:space="0" w:color="D0D7E5"/>
              <w:right w:val="outset" w:sz="6" w:space="0" w:color="D0D7E5"/>
            </w:tcBorders>
            <w:shd w:val="clear" w:color="auto" w:fill="FFFFFF"/>
            <w:vAlign w:val="center"/>
          </w:tcPr>
          <w:p w14:paraId="777AD714" w14:textId="0F63700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E0A28BE" w14:textId="3E9A060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56A7AE5B" w14:textId="42DCA830"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221118</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0C14338C" w14:textId="2B9F6D14"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Other Electric Power Generation </w:t>
            </w:r>
          </w:p>
        </w:tc>
        <w:tc>
          <w:tcPr>
            <w:tcW w:w="2932" w:type="dxa"/>
            <w:vMerge/>
            <w:tcBorders>
              <w:left w:val="outset" w:sz="6" w:space="0" w:color="D0D7E5"/>
              <w:right w:val="outset" w:sz="6" w:space="0" w:color="D0D7E5"/>
            </w:tcBorders>
            <w:shd w:val="clear" w:color="auto" w:fill="FFFFFF"/>
            <w:vAlign w:val="center"/>
          </w:tcPr>
          <w:p w14:paraId="35E582B9" w14:textId="74CE0B91"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8859E05" w14:textId="40D4C0AF"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180A0B9B" w14:textId="364F5927"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22112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4B5F0D14" w14:textId="541B0DDE"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 xml:space="preserve">Electric Power Transmission, Control, and Distribution </w:t>
            </w:r>
          </w:p>
        </w:tc>
        <w:tc>
          <w:tcPr>
            <w:tcW w:w="2932" w:type="dxa"/>
            <w:vMerge/>
            <w:tcBorders>
              <w:left w:val="outset" w:sz="6" w:space="0" w:color="D0D7E5"/>
              <w:right w:val="outset" w:sz="6" w:space="0" w:color="D0D7E5"/>
            </w:tcBorders>
            <w:shd w:val="clear" w:color="auto" w:fill="FFFFFF"/>
            <w:vAlign w:val="center"/>
          </w:tcPr>
          <w:p w14:paraId="3CF0CC5F" w14:textId="1F9EB503"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ADEF1DA" w14:textId="7CDD2755"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66CA0BA4" w14:textId="2689A4E5"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19DE93F6" w14:textId="32B94121"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Electric Bulk Power Transmission and Control </w:t>
            </w:r>
          </w:p>
        </w:tc>
        <w:tc>
          <w:tcPr>
            <w:tcW w:w="2932" w:type="dxa"/>
            <w:vMerge/>
            <w:tcBorders>
              <w:left w:val="outset" w:sz="6" w:space="0" w:color="D0D7E5"/>
              <w:right w:val="outset" w:sz="6" w:space="0" w:color="D0D7E5"/>
            </w:tcBorders>
            <w:shd w:val="clear" w:color="auto" w:fill="FFFFFF"/>
            <w:vAlign w:val="center"/>
          </w:tcPr>
          <w:p w14:paraId="4B3AEB61" w14:textId="2692E6F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AD14086" w14:textId="2E64B9B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25F0F57D" w14:textId="080460D0"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221122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1D57C29A" w14:textId="256D1D0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Electric Power Distribution </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6934596B" w14:textId="6CB37861"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DC3CD32" w14:textId="18575ED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7DE5346B" w14:textId="7F6C7E34"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221111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20238576" w14:textId="2C153893"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 xml:space="preserve">Hydroelectric Power Generation </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6ADD8F47" w14:textId="2BCD939B"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Non-Fossil EGU</w:t>
            </w:r>
          </w:p>
        </w:tc>
      </w:tr>
      <w:tr w:rsidR="009D4255" w:rsidRPr="006D4D84" w14:paraId="1A731372" w14:textId="50CE93B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58A51F75" w14:textId="0AF7E49B"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1BD02047" w14:textId="06EEFE1F"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Nuclear Electric Power Generation </w:t>
            </w:r>
          </w:p>
        </w:tc>
        <w:tc>
          <w:tcPr>
            <w:tcW w:w="2932" w:type="dxa"/>
            <w:vMerge/>
            <w:tcBorders>
              <w:left w:val="outset" w:sz="6" w:space="0" w:color="D0D7E5"/>
              <w:right w:val="outset" w:sz="6" w:space="0" w:color="D0D7E5"/>
            </w:tcBorders>
            <w:shd w:val="clear" w:color="auto" w:fill="FFFFFF"/>
            <w:vAlign w:val="center"/>
          </w:tcPr>
          <w:p w14:paraId="20050C13" w14:textId="3C1E1B99"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90943C6" w14:textId="7CAD0AC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4BBDB31D" w14:textId="19979094"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221114</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0D8EC431" w14:textId="14188AF0"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Solar Electric Power Generation </w:t>
            </w:r>
          </w:p>
        </w:tc>
        <w:tc>
          <w:tcPr>
            <w:tcW w:w="2932" w:type="dxa"/>
            <w:vMerge/>
            <w:tcBorders>
              <w:left w:val="outset" w:sz="6" w:space="0" w:color="D0D7E5"/>
              <w:right w:val="outset" w:sz="6" w:space="0" w:color="D0D7E5"/>
            </w:tcBorders>
            <w:shd w:val="clear" w:color="auto" w:fill="FFFFFF"/>
            <w:vAlign w:val="center"/>
          </w:tcPr>
          <w:p w14:paraId="1583078D" w14:textId="6A1587E2"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B6902CE" w14:textId="5EC579EC"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3379D0B5" w14:textId="0C96C6F9"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221115</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6E32BC26" w14:textId="554350A9"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Wind Electric Power Generation </w:t>
            </w:r>
          </w:p>
        </w:tc>
        <w:tc>
          <w:tcPr>
            <w:tcW w:w="2932" w:type="dxa"/>
            <w:vMerge/>
            <w:tcBorders>
              <w:left w:val="outset" w:sz="6" w:space="0" w:color="D0D7E5"/>
              <w:right w:val="outset" w:sz="6" w:space="0" w:color="D0D7E5"/>
            </w:tcBorders>
            <w:shd w:val="clear" w:color="auto" w:fill="FFFFFF"/>
            <w:vAlign w:val="center"/>
          </w:tcPr>
          <w:p w14:paraId="58E33A6F" w14:textId="570AD7FF"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C0663E3" w14:textId="20459D2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769D5C32" w14:textId="127A3B83"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221116</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6AAC38A8" w14:textId="0A746980"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Geothermal Electric Power Generation </w:t>
            </w:r>
          </w:p>
        </w:tc>
        <w:tc>
          <w:tcPr>
            <w:tcW w:w="2932" w:type="dxa"/>
            <w:vMerge/>
            <w:tcBorders>
              <w:left w:val="outset" w:sz="6" w:space="0" w:color="D0D7E5"/>
              <w:right w:val="outset" w:sz="6" w:space="0" w:color="D0D7E5"/>
            </w:tcBorders>
            <w:shd w:val="clear" w:color="auto" w:fill="FFFFFF"/>
            <w:vAlign w:val="center"/>
          </w:tcPr>
          <w:p w14:paraId="29AA9911" w14:textId="560D24E2"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F72435F" w14:textId="10BEE7FC"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4C32FA05" w14:textId="2F001942"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221117</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6F342B69" w14:textId="73A3867B"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Biomass Electric Power Generation </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06D67AFA" w14:textId="514CC45F"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3340CDC" w14:textId="6D3886C9"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56214C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E33C5B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Natural Gas Distribution </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2C97AF2D" w14:textId="458EF692"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Oil &amp; natural gas transmissions</w:t>
            </w:r>
          </w:p>
        </w:tc>
      </w:tr>
      <w:tr w:rsidR="009D4255" w:rsidRPr="006D4D84" w14:paraId="3EB8EF9E" w14:textId="5228296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EDE53E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F8CFC5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Natural Gas Distribution </w:t>
            </w:r>
          </w:p>
        </w:tc>
        <w:tc>
          <w:tcPr>
            <w:tcW w:w="2932" w:type="dxa"/>
            <w:vMerge/>
            <w:tcBorders>
              <w:left w:val="outset" w:sz="6" w:space="0" w:color="D0D7E5"/>
              <w:right w:val="outset" w:sz="6" w:space="0" w:color="D0D7E5"/>
            </w:tcBorders>
            <w:shd w:val="clear" w:color="auto" w:fill="FFFFFF"/>
            <w:vAlign w:val="center"/>
          </w:tcPr>
          <w:p w14:paraId="69C8A536" w14:textId="09165B4A"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CF3ED6A" w14:textId="5176F82F"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7CD56B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221210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744FEE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Natural Gas Distribution </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5C1C0EAB" w14:textId="39B8D32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58256C4" w14:textId="3B6BB008"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4E7BAE5"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22132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3ACC15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Sewage Treatment Facilities </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2D4CEAB0" w14:textId="6D356F16"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Sewage Treatment</w:t>
            </w:r>
          </w:p>
        </w:tc>
      </w:tr>
      <w:tr w:rsidR="009D4255" w:rsidRPr="006D4D84" w14:paraId="48ADB2DA" w14:textId="7AD43C39"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447521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221320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F6F376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Sewage Treatment Facilities </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3B175231" w14:textId="0288DAD5"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CD95338" w14:textId="08B8E278"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AB32AC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48811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D478C2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Airport Operations</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37D4BFB4" w14:textId="5D62FC04"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Airports</w:t>
            </w:r>
          </w:p>
        </w:tc>
      </w:tr>
      <w:tr w:rsidR="009D4255" w:rsidRPr="006D4D84" w14:paraId="087B5F7A" w14:textId="77CB396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85A601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488119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FDE915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Other Airport Operations </w:t>
            </w:r>
          </w:p>
        </w:tc>
        <w:tc>
          <w:tcPr>
            <w:tcW w:w="2932" w:type="dxa"/>
            <w:vMerge/>
            <w:tcBorders>
              <w:left w:val="outset" w:sz="6" w:space="0" w:color="D0D7E5"/>
              <w:right w:val="outset" w:sz="6" w:space="0" w:color="D0D7E5"/>
            </w:tcBorders>
            <w:shd w:val="clear" w:color="auto" w:fill="FFFFFF"/>
            <w:vAlign w:val="center"/>
          </w:tcPr>
          <w:p w14:paraId="4A6501AC" w14:textId="3864287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0FDB020" w14:textId="7777777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2FEF863D" w14:textId="559A8ED1"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488190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12FDB1FF" w14:textId="2565CA4F"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Other Support Activities for Air Transportation</w:t>
            </w:r>
          </w:p>
        </w:tc>
        <w:tc>
          <w:tcPr>
            <w:tcW w:w="2932" w:type="dxa"/>
            <w:vMerge/>
            <w:tcBorders>
              <w:left w:val="outset" w:sz="6" w:space="0" w:color="D0D7E5"/>
              <w:right w:val="outset" w:sz="6" w:space="0" w:color="D0D7E5"/>
            </w:tcBorders>
            <w:shd w:val="clear" w:color="auto" w:fill="FFFFFF"/>
            <w:vAlign w:val="center"/>
          </w:tcPr>
          <w:p w14:paraId="29A24354" w14:textId="7570B25E"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DB69FF0" w14:textId="1FFE0F9C"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000A71C3" w14:textId="421D2615"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488111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4006BE12" w14:textId="734AB902"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Air Traffic Control</w:t>
            </w:r>
          </w:p>
        </w:tc>
        <w:tc>
          <w:tcPr>
            <w:tcW w:w="2932" w:type="dxa"/>
            <w:vMerge/>
            <w:tcBorders>
              <w:left w:val="outset" w:sz="6" w:space="0" w:color="D0D7E5"/>
              <w:right w:val="outset" w:sz="6" w:space="0" w:color="D0D7E5"/>
            </w:tcBorders>
            <w:shd w:val="clear" w:color="auto" w:fill="FFFFFF"/>
            <w:vAlign w:val="center"/>
          </w:tcPr>
          <w:p w14:paraId="70A98B44" w14:textId="7F77C43E"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B9F1CAD" w14:textId="3350A75D"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4222AD81" w14:textId="0FF48902"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48819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54019432" w14:textId="3338C401"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Other Support Activities for Air Transportation</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383177C6" w14:textId="30B087B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5C63BD4" w14:textId="5CCCAA5D"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021C02E0" w14:textId="64A63018"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488210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2CAB6173" w14:textId="568FE8DA"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Support Activities for Rail Transportation</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32B09DE8" w14:textId="69E4CEC1"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Rail Yards</w:t>
            </w:r>
          </w:p>
        </w:tc>
      </w:tr>
      <w:tr w:rsidR="009D4255" w:rsidRPr="006D4D84" w14:paraId="2C9080A0" w14:textId="7A516732"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004808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48821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7D6F562"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Support Activities for Rail Transportation</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1FF0F25C" w14:textId="7F5367C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45A969D" w14:textId="798E7D5F"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EA353A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212391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83E2D3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Potash, Soda, and Borate Mineral Mining </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6A6CB06D" w14:textId="70BC322B"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Mining (except ta</w:t>
            </w:r>
            <w:r w:rsidR="000422F8">
              <w:rPr>
                <w:rFonts w:eastAsia="Times New Roman" w:cstheme="minorHAnsi"/>
                <w:color w:val="000000"/>
                <w:sz w:val="20"/>
                <w:szCs w:val="20"/>
              </w:rPr>
              <w:t>c</w:t>
            </w:r>
            <w:r w:rsidRPr="000422F8">
              <w:rPr>
                <w:rFonts w:eastAsia="Times New Roman" w:cstheme="minorHAnsi"/>
                <w:color w:val="000000"/>
                <w:sz w:val="20"/>
                <w:szCs w:val="20"/>
              </w:rPr>
              <w:t>onite and O&amp;G)</w:t>
            </w:r>
          </w:p>
        </w:tc>
      </w:tr>
      <w:tr w:rsidR="009D4255" w:rsidRPr="006D4D84" w14:paraId="4280ACFA" w14:textId="66B93CCE"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250DEE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212210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4FEEAC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Iron Ore Mining</w:t>
            </w:r>
          </w:p>
        </w:tc>
        <w:tc>
          <w:tcPr>
            <w:tcW w:w="2932" w:type="dxa"/>
            <w:vMerge/>
            <w:tcBorders>
              <w:left w:val="outset" w:sz="6" w:space="0" w:color="D0D7E5"/>
              <w:right w:val="outset" w:sz="6" w:space="0" w:color="D0D7E5"/>
            </w:tcBorders>
            <w:shd w:val="clear" w:color="auto" w:fill="FFFFFF"/>
            <w:vAlign w:val="center"/>
          </w:tcPr>
          <w:p w14:paraId="6B5EAAA9" w14:textId="3DC1E1AA"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23BDC10" w14:textId="29C610F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D78DBD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9B2FA5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Crushed and Broken Limestone Mining and Quarrying </w:t>
            </w:r>
          </w:p>
        </w:tc>
        <w:tc>
          <w:tcPr>
            <w:tcW w:w="2932" w:type="dxa"/>
            <w:vMerge/>
            <w:tcBorders>
              <w:left w:val="outset" w:sz="6" w:space="0" w:color="D0D7E5"/>
              <w:right w:val="outset" w:sz="6" w:space="0" w:color="D0D7E5"/>
            </w:tcBorders>
            <w:shd w:val="clear" w:color="auto" w:fill="FFFFFF"/>
            <w:vAlign w:val="center"/>
          </w:tcPr>
          <w:p w14:paraId="2E852859" w14:textId="51FB079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F8B2CAF" w14:textId="4569B1A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D76370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212324</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43EFD5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Kaolin and Ball Clay Mining </w:t>
            </w:r>
          </w:p>
        </w:tc>
        <w:tc>
          <w:tcPr>
            <w:tcW w:w="2932" w:type="dxa"/>
            <w:vMerge/>
            <w:tcBorders>
              <w:left w:val="outset" w:sz="6" w:space="0" w:color="D0D7E5"/>
              <w:right w:val="outset" w:sz="6" w:space="0" w:color="D0D7E5"/>
            </w:tcBorders>
            <w:shd w:val="clear" w:color="auto" w:fill="FFFFFF"/>
            <w:vAlign w:val="center"/>
          </w:tcPr>
          <w:p w14:paraId="02D12CE9" w14:textId="265F9EC6"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FE8F76C" w14:textId="2DB4A6EF"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93E032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212399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5EA130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All Other Nonmetallic Mineral Mining </w:t>
            </w:r>
          </w:p>
        </w:tc>
        <w:tc>
          <w:tcPr>
            <w:tcW w:w="2932" w:type="dxa"/>
            <w:vMerge/>
            <w:tcBorders>
              <w:left w:val="outset" w:sz="6" w:space="0" w:color="D0D7E5"/>
              <w:right w:val="outset" w:sz="6" w:space="0" w:color="D0D7E5"/>
            </w:tcBorders>
            <w:shd w:val="clear" w:color="auto" w:fill="FFFFFF"/>
            <w:vAlign w:val="center"/>
          </w:tcPr>
          <w:p w14:paraId="0674F2D3" w14:textId="3D5AE72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BC41F74" w14:textId="4F944485"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76891B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212221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02F906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Gold Ore Mining </w:t>
            </w:r>
          </w:p>
        </w:tc>
        <w:tc>
          <w:tcPr>
            <w:tcW w:w="2932" w:type="dxa"/>
            <w:vMerge/>
            <w:tcBorders>
              <w:left w:val="outset" w:sz="6" w:space="0" w:color="D0D7E5"/>
              <w:right w:val="outset" w:sz="6" w:space="0" w:color="D0D7E5"/>
            </w:tcBorders>
            <w:shd w:val="clear" w:color="auto" w:fill="FFFFFF"/>
            <w:vAlign w:val="center"/>
          </w:tcPr>
          <w:p w14:paraId="0615812E" w14:textId="63617E41"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AB4E7DB" w14:textId="0209738B"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DF79A0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212322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B76E17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Industrial Sand Mining </w:t>
            </w:r>
          </w:p>
        </w:tc>
        <w:tc>
          <w:tcPr>
            <w:tcW w:w="2932" w:type="dxa"/>
            <w:vMerge/>
            <w:tcBorders>
              <w:left w:val="outset" w:sz="6" w:space="0" w:color="D0D7E5"/>
              <w:right w:val="outset" w:sz="6" w:space="0" w:color="D0D7E5"/>
            </w:tcBorders>
            <w:shd w:val="clear" w:color="auto" w:fill="FFFFFF"/>
            <w:vAlign w:val="center"/>
          </w:tcPr>
          <w:p w14:paraId="3FA246F4" w14:textId="2E35765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64994F9" w14:textId="4F88E5F8"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92F6A9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212319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36CF6EC"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Other Crushed and Broken Stone Mining and Quarrying </w:t>
            </w:r>
          </w:p>
        </w:tc>
        <w:tc>
          <w:tcPr>
            <w:tcW w:w="2932" w:type="dxa"/>
            <w:vMerge/>
            <w:tcBorders>
              <w:left w:val="outset" w:sz="6" w:space="0" w:color="D0D7E5"/>
              <w:right w:val="outset" w:sz="6" w:space="0" w:color="D0D7E5"/>
            </w:tcBorders>
            <w:shd w:val="clear" w:color="auto" w:fill="FFFFFF"/>
            <w:vAlign w:val="center"/>
          </w:tcPr>
          <w:p w14:paraId="51EB3814" w14:textId="540951E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8FE8969" w14:textId="47D3411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FE4FB1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212112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4443DA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Bituminous Coal Underground Mining </w:t>
            </w:r>
          </w:p>
        </w:tc>
        <w:tc>
          <w:tcPr>
            <w:tcW w:w="2932" w:type="dxa"/>
            <w:vMerge/>
            <w:tcBorders>
              <w:left w:val="outset" w:sz="6" w:space="0" w:color="D0D7E5"/>
              <w:right w:val="outset" w:sz="6" w:space="0" w:color="D0D7E5"/>
            </w:tcBorders>
            <w:shd w:val="clear" w:color="auto" w:fill="FFFFFF"/>
            <w:vAlign w:val="center"/>
          </w:tcPr>
          <w:p w14:paraId="0E73EEF0" w14:textId="0496E4A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14972B5" w14:textId="10A224C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7EA552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691C54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Construction Sand and Gravel Mining </w:t>
            </w:r>
          </w:p>
        </w:tc>
        <w:tc>
          <w:tcPr>
            <w:tcW w:w="2932" w:type="dxa"/>
            <w:vMerge/>
            <w:tcBorders>
              <w:left w:val="outset" w:sz="6" w:space="0" w:color="D0D7E5"/>
              <w:right w:val="outset" w:sz="6" w:space="0" w:color="D0D7E5"/>
            </w:tcBorders>
            <w:shd w:val="clear" w:color="auto" w:fill="FFFFFF"/>
            <w:vAlign w:val="center"/>
          </w:tcPr>
          <w:p w14:paraId="376A0451" w14:textId="2BCEB23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D76B814" w14:textId="79347455"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9C25BA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21223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03C1ED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Copper, Nickel, Lead, and Zinc Mining</w:t>
            </w:r>
          </w:p>
        </w:tc>
        <w:tc>
          <w:tcPr>
            <w:tcW w:w="2932" w:type="dxa"/>
            <w:vMerge/>
            <w:tcBorders>
              <w:left w:val="outset" w:sz="6" w:space="0" w:color="D0D7E5"/>
              <w:right w:val="outset" w:sz="6" w:space="0" w:color="D0D7E5"/>
            </w:tcBorders>
            <w:shd w:val="clear" w:color="auto" w:fill="FFFFFF"/>
            <w:vAlign w:val="center"/>
          </w:tcPr>
          <w:p w14:paraId="6C5FEA12" w14:textId="339694E9"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7F01208" w14:textId="36A3A4DC"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E8098A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212111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A4298E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Bituminous Coal and Lignite Surface Mining </w:t>
            </w:r>
          </w:p>
        </w:tc>
        <w:tc>
          <w:tcPr>
            <w:tcW w:w="2932" w:type="dxa"/>
            <w:vMerge/>
            <w:tcBorders>
              <w:left w:val="outset" w:sz="6" w:space="0" w:color="D0D7E5"/>
              <w:right w:val="outset" w:sz="6" w:space="0" w:color="D0D7E5"/>
            </w:tcBorders>
            <w:shd w:val="clear" w:color="auto" w:fill="FFFFFF"/>
            <w:vAlign w:val="center"/>
          </w:tcPr>
          <w:p w14:paraId="3EF84A30" w14:textId="32DB6E56"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B3FF258" w14:textId="5642EB1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FF0A76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D96BF9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Coal Mining</w:t>
            </w:r>
          </w:p>
        </w:tc>
        <w:tc>
          <w:tcPr>
            <w:tcW w:w="2932" w:type="dxa"/>
            <w:vMerge/>
            <w:tcBorders>
              <w:left w:val="outset" w:sz="6" w:space="0" w:color="D0D7E5"/>
              <w:right w:val="outset" w:sz="6" w:space="0" w:color="D0D7E5"/>
            </w:tcBorders>
            <w:shd w:val="clear" w:color="auto" w:fill="FFFFFF"/>
            <w:vAlign w:val="center"/>
          </w:tcPr>
          <w:p w14:paraId="60423237" w14:textId="27249BD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5497102" w14:textId="668D45C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F40FD8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lastRenderedPageBreak/>
              <w:t>212299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606933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All Other Metal Ore Mining </w:t>
            </w:r>
          </w:p>
        </w:tc>
        <w:tc>
          <w:tcPr>
            <w:tcW w:w="2932" w:type="dxa"/>
            <w:vMerge/>
            <w:tcBorders>
              <w:left w:val="outset" w:sz="6" w:space="0" w:color="D0D7E5"/>
              <w:right w:val="outset" w:sz="6" w:space="0" w:color="D0D7E5"/>
            </w:tcBorders>
            <w:shd w:val="clear" w:color="auto" w:fill="FFFFFF"/>
            <w:vAlign w:val="center"/>
          </w:tcPr>
          <w:p w14:paraId="54BB401B" w14:textId="427BE66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1F6DE64" w14:textId="2E9730F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D8101A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212325</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E579B8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Clay and Ceramic and Refractory Minerals Mining </w:t>
            </w:r>
          </w:p>
        </w:tc>
        <w:tc>
          <w:tcPr>
            <w:tcW w:w="2932" w:type="dxa"/>
            <w:vMerge/>
            <w:tcBorders>
              <w:left w:val="outset" w:sz="6" w:space="0" w:color="D0D7E5"/>
              <w:right w:val="outset" w:sz="6" w:space="0" w:color="D0D7E5"/>
            </w:tcBorders>
            <w:shd w:val="clear" w:color="auto" w:fill="FFFFFF"/>
            <w:vAlign w:val="center"/>
          </w:tcPr>
          <w:p w14:paraId="793E2F72" w14:textId="26426F42"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F2B4883" w14:textId="61AF1FB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6BE735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212230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9AFFA8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Copper, Nickel, Lead, and Zinc Mining </w:t>
            </w:r>
          </w:p>
        </w:tc>
        <w:tc>
          <w:tcPr>
            <w:tcW w:w="2932" w:type="dxa"/>
            <w:vMerge/>
            <w:tcBorders>
              <w:left w:val="outset" w:sz="6" w:space="0" w:color="D0D7E5"/>
              <w:right w:val="outset" w:sz="6" w:space="0" w:color="D0D7E5"/>
            </w:tcBorders>
            <w:shd w:val="clear" w:color="auto" w:fill="FFFFFF"/>
            <w:vAlign w:val="center"/>
          </w:tcPr>
          <w:p w14:paraId="165FF677" w14:textId="5DB30427"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406F74D" w14:textId="7A7EDDF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A89B56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0A639E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Dimension Stone Mining and Quarrying </w:t>
            </w:r>
          </w:p>
        </w:tc>
        <w:tc>
          <w:tcPr>
            <w:tcW w:w="2932" w:type="dxa"/>
            <w:vMerge/>
            <w:tcBorders>
              <w:left w:val="outset" w:sz="6" w:space="0" w:color="D0D7E5"/>
              <w:right w:val="outset" w:sz="6" w:space="0" w:color="D0D7E5"/>
            </w:tcBorders>
            <w:shd w:val="clear" w:color="auto" w:fill="FFFFFF"/>
            <w:vAlign w:val="center"/>
          </w:tcPr>
          <w:p w14:paraId="70152E8E" w14:textId="37B3297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F706547" w14:textId="77A7ECD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A4A364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40DC5F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Crushed and Broken Granite Mining and Quarrying </w:t>
            </w:r>
          </w:p>
        </w:tc>
        <w:tc>
          <w:tcPr>
            <w:tcW w:w="2932" w:type="dxa"/>
            <w:vMerge/>
            <w:tcBorders>
              <w:left w:val="outset" w:sz="6" w:space="0" w:color="D0D7E5"/>
              <w:right w:val="outset" w:sz="6" w:space="0" w:color="D0D7E5"/>
            </w:tcBorders>
            <w:shd w:val="clear" w:color="auto" w:fill="FFFFFF"/>
            <w:vAlign w:val="center"/>
          </w:tcPr>
          <w:p w14:paraId="00365D5D" w14:textId="6F4A2672"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CF30023" w14:textId="40A85722"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5EA38B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B209B4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Coal Mining</w:t>
            </w:r>
          </w:p>
        </w:tc>
        <w:tc>
          <w:tcPr>
            <w:tcW w:w="2932" w:type="dxa"/>
            <w:vMerge/>
            <w:tcBorders>
              <w:left w:val="outset" w:sz="6" w:space="0" w:color="D0D7E5"/>
              <w:right w:val="outset" w:sz="6" w:space="0" w:color="D0D7E5"/>
            </w:tcBorders>
            <w:shd w:val="clear" w:color="auto" w:fill="FFFFFF"/>
            <w:vAlign w:val="center"/>
          </w:tcPr>
          <w:p w14:paraId="15237C7C" w14:textId="0AB1E56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2CE2F51" w14:textId="0D6B6DB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15921C5"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FB08AEC"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Sand, Gravel, Clay, and Ceramic and Refractory Minerals Mining and Quarrying</w:t>
            </w:r>
          </w:p>
        </w:tc>
        <w:tc>
          <w:tcPr>
            <w:tcW w:w="2932" w:type="dxa"/>
            <w:vMerge/>
            <w:tcBorders>
              <w:left w:val="outset" w:sz="6" w:space="0" w:color="D0D7E5"/>
              <w:right w:val="outset" w:sz="6" w:space="0" w:color="D0D7E5"/>
            </w:tcBorders>
            <w:shd w:val="clear" w:color="auto" w:fill="FFFFFF"/>
            <w:vAlign w:val="center"/>
          </w:tcPr>
          <w:p w14:paraId="6D5C3EE5" w14:textId="65BAF30A"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DCD90E5" w14:textId="06E5D35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AF9F70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212393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E38381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Other Chemical and Fertilizer Mineral Mining </w:t>
            </w:r>
          </w:p>
        </w:tc>
        <w:tc>
          <w:tcPr>
            <w:tcW w:w="2932" w:type="dxa"/>
            <w:vMerge/>
            <w:tcBorders>
              <w:left w:val="outset" w:sz="6" w:space="0" w:color="D0D7E5"/>
              <w:right w:val="outset" w:sz="6" w:space="0" w:color="D0D7E5"/>
            </w:tcBorders>
            <w:shd w:val="clear" w:color="auto" w:fill="FFFFFF"/>
            <w:vAlign w:val="center"/>
          </w:tcPr>
          <w:p w14:paraId="39E9D66C" w14:textId="500AB72D"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478182C" w14:textId="5AD3C5F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23C6B4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B5B311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Metal Ore Mining</w:t>
            </w:r>
          </w:p>
        </w:tc>
        <w:tc>
          <w:tcPr>
            <w:tcW w:w="2932" w:type="dxa"/>
            <w:vMerge/>
            <w:tcBorders>
              <w:left w:val="outset" w:sz="6" w:space="0" w:color="D0D7E5"/>
              <w:right w:val="outset" w:sz="6" w:space="0" w:color="D0D7E5"/>
            </w:tcBorders>
            <w:shd w:val="clear" w:color="auto" w:fill="FFFFFF"/>
            <w:vAlign w:val="center"/>
          </w:tcPr>
          <w:p w14:paraId="095DD785" w14:textId="46220C71"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C01E337" w14:textId="7021AD6E"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E444CB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BD3EB9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Nonmetallic Mineral Mining and Quarrying</w:t>
            </w:r>
          </w:p>
        </w:tc>
        <w:tc>
          <w:tcPr>
            <w:tcW w:w="2932" w:type="dxa"/>
            <w:vMerge/>
            <w:tcBorders>
              <w:left w:val="outset" w:sz="6" w:space="0" w:color="D0D7E5"/>
              <w:right w:val="outset" w:sz="6" w:space="0" w:color="D0D7E5"/>
            </w:tcBorders>
            <w:shd w:val="clear" w:color="auto" w:fill="FFFFFF"/>
            <w:vAlign w:val="center"/>
          </w:tcPr>
          <w:p w14:paraId="570743EE" w14:textId="234435C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5787EE1" w14:textId="4CC5DBC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F7662E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CDB55D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Iron Ore Mining</w:t>
            </w:r>
          </w:p>
        </w:tc>
        <w:tc>
          <w:tcPr>
            <w:tcW w:w="2932" w:type="dxa"/>
            <w:vMerge/>
            <w:tcBorders>
              <w:left w:val="outset" w:sz="6" w:space="0" w:color="D0D7E5"/>
              <w:right w:val="outset" w:sz="6" w:space="0" w:color="D0D7E5"/>
            </w:tcBorders>
            <w:shd w:val="clear" w:color="auto" w:fill="FFFFFF"/>
            <w:vAlign w:val="center"/>
          </w:tcPr>
          <w:p w14:paraId="5D8C29DE" w14:textId="0ACED36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DDADDB1" w14:textId="652F10AC"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AA867E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00BC03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Stone Mining and Quarrying</w:t>
            </w:r>
          </w:p>
        </w:tc>
        <w:tc>
          <w:tcPr>
            <w:tcW w:w="2932" w:type="dxa"/>
            <w:vMerge/>
            <w:tcBorders>
              <w:left w:val="outset" w:sz="6" w:space="0" w:color="D0D7E5"/>
              <w:right w:val="outset" w:sz="6" w:space="0" w:color="D0D7E5"/>
            </w:tcBorders>
            <w:shd w:val="clear" w:color="auto" w:fill="FFFFFF"/>
            <w:vAlign w:val="center"/>
          </w:tcPr>
          <w:p w14:paraId="599F8D52" w14:textId="3B90E94A"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465BF2C" w14:textId="58FD5FC6"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077C0F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CFE573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Other Nonmetallic Mineral Mining and Quarrying</w:t>
            </w:r>
          </w:p>
        </w:tc>
        <w:tc>
          <w:tcPr>
            <w:tcW w:w="2932" w:type="dxa"/>
            <w:vMerge/>
            <w:tcBorders>
              <w:left w:val="outset" w:sz="6" w:space="0" w:color="D0D7E5"/>
              <w:right w:val="outset" w:sz="6" w:space="0" w:color="D0D7E5"/>
            </w:tcBorders>
            <w:shd w:val="clear" w:color="auto" w:fill="FFFFFF"/>
            <w:vAlign w:val="center"/>
          </w:tcPr>
          <w:p w14:paraId="0B5018BB" w14:textId="415291AD"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C2D9C45" w14:textId="1AD183B2"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E63F4E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212222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C7F56B2"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Silver Ore Mining </w:t>
            </w:r>
          </w:p>
        </w:tc>
        <w:tc>
          <w:tcPr>
            <w:tcW w:w="2932" w:type="dxa"/>
            <w:vMerge/>
            <w:tcBorders>
              <w:left w:val="outset" w:sz="6" w:space="0" w:color="D0D7E5"/>
              <w:right w:val="outset" w:sz="6" w:space="0" w:color="D0D7E5"/>
            </w:tcBorders>
            <w:shd w:val="clear" w:color="auto" w:fill="FFFFFF"/>
            <w:vAlign w:val="center"/>
          </w:tcPr>
          <w:p w14:paraId="72B5FB42" w14:textId="17AB72DE"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CFDDDEF" w14:textId="4A750AA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CD0BFFC"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212291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BD59D3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Uranium-Radium-Vanadium Ore Mining </w:t>
            </w:r>
          </w:p>
        </w:tc>
        <w:tc>
          <w:tcPr>
            <w:tcW w:w="2932" w:type="dxa"/>
            <w:vMerge/>
            <w:tcBorders>
              <w:left w:val="outset" w:sz="6" w:space="0" w:color="D0D7E5"/>
              <w:right w:val="outset" w:sz="6" w:space="0" w:color="D0D7E5"/>
            </w:tcBorders>
            <w:shd w:val="clear" w:color="auto" w:fill="FFFFFF"/>
            <w:vAlign w:val="center"/>
          </w:tcPr>
          <w:p w14:paraId="0725EC34" w14:textId="27625A09"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1CEB996" w14:textId="54E34A5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238239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212392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088F93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Phosphate Rock Mining </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2EA73E46" w14:textId="0324C545"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1702796" w14:textId="610CE16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2B25ED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562213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4DCB09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Solid Waste Combustors and Incinerators </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462F8AA0" w14:textId="55D42057"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Waste Combustion &amp; Treatment</w:t>
            </w:r>
          </w:p>
        </w:tc>
      </w:tr>
      <w:tr w:rsidR="009D4255" w:rsidRPr="006D4D84" w14:paraId="6F4CA44C" w14:textId="7777777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79A80957" w14:textId="74A15BB8"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562219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3E7B34A9" w14:textId="6D4895AE"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 xml:space="preserve">Other Nonhazardous Waste Treatment and Disposal </w:t>
            </w:r>
          </w:p>
        </w:tc>
        <w:tc>
          <w:tcPr>
            <w:tcW w:w="2932" w:type="dxa"/>
            <w:vMerge/>
            <w:tcBorders>
              <w:left w:val="outset" w:sz="6" w:space="0" w:color="D0D7E5"/>
              <w:right w:val="outset" w:sz="6" w:space="0" w:color="D0D7E5"/>
            </w:tcBorders>
            <w:shd w:val="clear" w:color="auto" w:fill="FFFFFF"/>
            <w:vAlign w:val="center"/>
          </w:tcPr>
          <w:p w14:paraId="179FFA29" w14:textId="0B0BB75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51F6F12" w14:textId="7777777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tcPr>
          <w:p w14:paraId="5D8E8B2E" w14:textId="7AF9EA67"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562211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407E48DD" w14:textId="60A259B7"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 xml:space="preserve">Hazardous Waste Treatment and Disposal </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47BE285E" w14:textId="5B856DBA"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3AA3305" w14:textId="28E5F90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6AB9A4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562212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BF01032"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Solid Waste Landfill </w:t>
            </w:r>
          </w:p>
        </w:tc>
        <w:tc>
          <w:tcPr>
            <w:tcW w:w="2932"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198FB11A" w14:textId="45E97AE7"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Landfill</w:t>
            </w:r>
          </w:p>
        </w:tc>
      </w:tr>
      <w:tr w:rsidR="009D4255" w:rsidRPr="006D4D84" w14:paraId="727FB955" w14:textId="7C2AFC7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BAA252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562910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CBE103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Remediation Services </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1824C5D7" w14:textId="50EAC3D8"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Other Waste</w:t>
            </w:r>
          </w:p>
        </w:tc>
      </w:tr>
      <w:tr w:rsidR="009D4255" w:rsidRPr="006D4D84" w14:paraId="616585BF" w14:textId="6F39145D"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A5C0552"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562920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B4717B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Materials Recovery Facilities </w:t>
            </w:r>
          </w:p>
        </w:tc>
        <w:tc>
          <w:tcPr>
            <w:tcW w:w="2932" w:type="dxa"/>
            <w:vMerge/>
            <w:tcBorders>
              <w:left w:val="outset" w:sz="6" w:space="0" w:color="D0D7E5"/>
              <w:right w:val="outset" w:sz="6" w:space="0" w:color="D0D7E5"/>
            </w:tcBorders>
            <w:shd w:val="clear" w:color="auto" w:fill="FFFFFF"/>
            <w:vAlign w:val="center"/>
          </w:tcPr>
          <w:p w14:paraId="7BCF25F9" w14:textId="1A25329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43F68DB" w14:textId="54F0BAC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EC8C80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414279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Waste Collection </w:t>
            </w:r>
          </w:p>
        </w:tc>
        <w:tc>
          <w:tcPr>
            <w:tcW w:w="2932" w:type="dxa"/>
            <w:vMerge/>
            <w:tcBorders>
              <w:left w:val="outset" w:sz="6" w:space="0" w:color="D0D7E5"/>
              <w:right w:val="outset" w:sz="6" w:space="0" w:color="D0D7E5"/>
            </w:tcBorders>
            <w:shd w:val="clear" w:color="auto" w:fill="FFFFFF"/>
            <w:vAlign w:val="center"/>
          </w:tcPr>
          <w:p w14:paraId="3239CE0A" w14:textId="2012BB07"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D0A1364" w14:textId="6EA2317E"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FA6585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562111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886236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Solid Waste Collection </w:t>
            </w:r>
          </w:p>
        </w:tc>
        <w:tc>
          <w:tcPr>
            <w:tcW w:w="2932" w:type="dxa"/>
            <w:vMerge/>
            <w:tcBorders>
              <w:left w:val="outset" w:sz="6" w:space="0" w:color="D0D7E5"/>
              <w:right w:val="outset" w:sz="6" w:space="0" w:color="D0D7E5"/>
            </w:tcBorders>
            <w:shd w:val="clear" w:color="auto" w:fill="FFFFFF"/>
            <w:vAlign w:val="center"/>
          </w:tcPr>
          <w:p w14:paraId="5F51A323" w14:textId="099DABCD"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CA61951" w14:textId="59EC530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696DAC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562991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C97F53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Septic Tank and Related Services </w:t>
            </w:r>
          </w:p>
        </w:tc>
        <w:tc>
          <w:tcPr>
            <w:tcW w:w="2932" w:type="dxa"/>
            <w:vMerge/>
            <w:tcBorders>
              <w:left w:val="outset" w:sz="6" w:space="0" w:color="D0D7E5"/>
              <w:right w:val="outset" w:sz="6" w:space="0" w:color="D0D7E5"/>
            </w:tcBorders>
            <w:shd w:val="clear" w:color="auto" w:fill="FFFFFF"/>
            <w:vAlign w:val="center"/>
          </w:tcPr>
          <w:p w14:paraId="5A39064F" w14:textId="00D48A0E"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88747DF" w14:textId="58B3E056"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B25FAF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562998</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F66744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All Other Miscellaneous Waste Management Services </w:t>
            </w:r>
          </w:p>
        </w:tc>
        <w:tc>
          <w:tcPr>
            <w:tcW w:w="2932" w:type="dxa"/>
            <w:vMerge/>
            <w:tcBorders>
              <w:left w:val="outset" w:sz="6" w:space="0" w:color="D0D7E5"/>
              <w:right w:val="outset" w:sz="6" w:space="0" w:color="D0D7E5"/>
            </w:tcBorders>
            <w:shd w:val="clear" w:color="auto" w:fill="FFFFFF"/>
            <w:vAlign w:val="center"/>
          </w:tcPr>
          <w:p w14:paraId="07B222B4" w14:textId="74C0DF8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CF3E62D" w14:textId="57EA169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8DCF08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6C70AB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Waste Treatment and Disposal </w:t>
            </w:r>
          </w:p>
        </w:tc>
        <w:tc>
          <w:tcPr>
            <w:tcW w:w="2932" w:type="dxa"/>
            <w:vMerge/>
            <w:tcBorders>
              <w:left w:val="outset" w:sz="6" w:space="0" w:color="D0D7E5"/>
              <w:right w:val="outset" w:sz="6" w:space="0" w:color="D0D7E5"/>
            </w:tcBorders>
            <w:shd w:val="clear" w:color="auto" w:fill="FFFFFF"/>
            <w:vAlign w:val="center"/>
          </w:tcPr>
          <w:p w14:paraId="4A71E929" w14:textId="264B15F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68C1195" w14:textId="0F0AB439"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3D22D4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5FD03E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Waste Collection </w:t>
            </w:r>
          </w:p>
        </w:tc>
        <w:tc>
          <w:tcPr>
            <w:tcW w:w="2932" w:type="dxa"/>
            <w:vMerge/>
            <w:tcBorders>
              <w:left w:val="outset" w:sz="6" w:space="0" w:color="D0D7E5"/>
              <w:right w:val="outset" w:sz="6" w:space="0" w:color="D0D7E5"/>
            </w:tcBorders>
            <w:shd w:val="clear" w:color="auto" w:fill="FFFFFF"/>
            <w:vAlign w:val="center"/>
          </w:tcPr>
          <w:p w14:paraId="28B09885" w14:textId="29971387"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CF0CB58" w14:textId="19D7E76F"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68B585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56291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ECF976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Remediation Services </w:t>
            </w:r>
          </w:p>
        </w:tc>
        <w:tc>
          <w:tcPr>
            <w:tcW w:w="2932" w:type="dxa"/>
            <w:vMerge/>
            <w:tcBorders>
              <w:left w:val="outset" w:sz="6" w:space="0" w:color="D0D7E5"/>
              <w:right w:val="outset" w:sz="6" w:space="0" w:color="D0D7E5"/>
            </w:tcBorders>
            <w:shd w:val="clear" w:color="auto" w:fill="FFFFFF"/>
            <w:vAlign w:val="center"/>
          </w:tcPr>
          <w:p w14:paraId="0AD63AE2" w14:textId="23D4F79D"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6DF4189" w14:textId="579DB45C"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CB5E95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56292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6A36ED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Materials Recovery Facilities </w:t>
            </w:r>
          </w:p>
        </w:tc>
        <w:tc>
          <w:tcPr>
            <w:tcW w:w="2932" w:type="dxa"/>
            <w:vMerge/>
            <w:tcBorders>
              <w:left w:val="outset" w:sz="6" w:space="0" w:color="D0D7E5"/>
              <w:right w:val="outset" w:sz="6" w:space="0" w:color="D0D7E5"/>
            </w:tcBorders>
            <w:shd w:val="clear" w:color="auto" w:fill="FFFFFF"/>
            <w:vAlign w:val="center"/>
          </w:tcPr>
          <w:p w14:paraId="581D1978" w14:textId="3C2C0625"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7FC500A" w14:textId="6F66E795"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DE1F70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562112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5DADA7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Hazardous Waste Collection </w:t>
            </w:r>
          </w:p>
        </w:tc>
        <w:tc>
          <w:tcPr>
            <w:tcW w:w="2932" w:type="dxa"/>
            <w:vMerge/>
            <w:tcBorders>
              <w:left w:val="outset" w:sz="6" w:space="0" w:color="D0D7E5"/>
              <w:right w:val="outset" w:sz="6" w:space="0" w:color="D0D7E5"/>
            </w:tcBorders>
            <w:shd w:val="clear" w:color="auto" w:fill="FFFFFF"/>
            <w:vAlign w:val="center"/>
          </w:tcPr>
          <w:p w14:paraId="59CF3AE9" w14:textId="7FF4978C"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0433DF3" w14:textId="7E13D92D"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59761A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562119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440AD4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Other Waste Collection </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5A7FA010" w14:textId="6566DB7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EAAC2B4" w14:textId="6D2C6472"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EAC7AFB" w14:textId="77777777" w:rsidR="009D4255" w:rsidRPr="000422F8" w:rsidRDefault="009D4255" w:rsidP="009D4255">
            <w:pPr>
              <w:keepNext/>
              <w:spacing w:after="0" w:line="240" w:lineRule="auto"/>
              <w:rPr>
                <w:rFonts w:eastAsia="Times New Roman" w:cstheme="minorHAnsi"/>
                <w:sz w:val="20"/>
                <w:szCs w:val="20"/>
              </w:rPr>
            </w:pPr>
            <w:r w:rsidRPr="000422F8">
              <w:rPr>
                <w:rFonts w:eastAsia="Times New Roman" w:cstheme="minorHAnsi"/>
                <w:color w:val="000000"/>
                <w:sz w:val="20"/>
                <w:szCs w:val="20"/>
              </w:rPr>
              <w:t>331110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809E533" w14:textId="77777777" w:rsidR="009D4255" w:rsidRPr="000422F8" w:rsidRDefault="009D4255" w:rsidP="009D4255">
            <w:pPr>
              <w:keepNext/>
              <w:spacing w:after="0" w:line="240" w:lineRule="auto"/>
              <w:rPr>
                <w:rFonts w:eastAsia="Times New Roman" w:cstheme="minorHAnsi"/>
                <w:sz w:val="20"/>
                <w:szCs w:val="20"/>
              </w:rPr>
            </w:pPr>
            <w:r w:rsidRPr="000422F8">
              <w:rPr>
                <w:rFonts w:eastAsia="Times New Roman" w:cstheme="minorHAnsi"/>
                <w:color w:val="000000"/>
                <w:sz w:val="20"/>
                <w:szCs w:val="20"/>
              </w:rPr>
              <w:t xml:space="preserve">Iron and Steel Mills and Ferroalloy Manufacturing </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5B165310" w14:textId="2D8E93BA" w:rsidR="009D4255" w:rsidRPr="000422F8" w:rsidRDefault="00513A3A" w:rsidP="009D4255">
            <w:pPr>
              <w:spacing w:after="0" w:line="240" w:lineRule="auto"/>
              <w:rPr>
                <w:rFonts w:eastAsia="Times New Roman" w:cstheme="minorHAnsi"/>
                <w:color w:val="000000"/>
                <w:sz w:val="20"/>
                <w:szCs w:val="20"/>
              </w:rPr>
            </w:pPr>
            <w:r w:rsidRPr="000872A1">
              <w:rPr>
                <w:rFonts w:ascii="Calibri" w:hAnsi="Calibri" w:cs="Calibri"/>
                <w:color w:val="000000"/>
                <w:sz w:val="20"/>
                <w:szCs w:val="20"/>
              </w:rPr>
              <w:t xml:space="preserve">Other </w:t>
            </w:r>
            <w:r>
              <w:rPr>
                <w:rFonts w:ascii="Calibri" w:hAnsi="Calibri" w:cs="Calibri"/>
                <w:color w:val="000000"/>
                <w:sz w:val="20"/>
                <w:szCs w:val="20"/>
              </w:rPr>
              <w:t>M</w:t>
            </w:r>
            <w:r w:rsidRPr="000872A1">
              <w:rPr>
                <w:rFonts w:ascii="Calibri" w:hAnsi="Calibri" w:cs="Calibri"/>
                <w:color w:val="000000"/>
                <w:sz w:val="20"/>
                <w:szCs w:val="20"/>
              </w:rPr>
              <w:t>etal</w:t>
            </w:r>
            <w:r>
              <w:rPr>
                <w:rFonts w:ascii="Calibri" w:hAnsi="Calibri" w:cs="Calibri"/>
                <w:color w:val="000000"/>
                <w:sz w:val="20"/>
                <w:szCs w:val="20"/>
              </w:rPr>
              <w:t xml:space="preserve"> Manufacturing</w:t>
            </w:r>
          </w:p>
        </w:tc>
      </w:tr>
      <w:tr w:rsidR="009D4255" w:rsidRPr="006D4D84" w14:paraId="5F1559A4" w14:textId="027D6B2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7FC1974" w14:textId="77777777" w:rsidR="009D4255" w:rsidRPr="000422F8" w:rsidRDefault="009D4255" w:rsidP="009D4255">
            <w:pPr>
              <w:keepNext/>
              <w:spacing w:after="0" w:line="240" w:lineRule="auto"/>
              <w:rPr>
                <w:rFonts w:eastAsia="Times New Roman" w:cstheme="minorHAnsi"/>
                <w:sz w:val="20"/>
                <w:szCs w:val="20"/>
              </w:rPr>
            </w:pPr>
            <w:r w:rsidRPr="000422F8">
              <w:rPr>
                <w:rFonts w:eastAsia="Times New Roman" w:cstheme="minorHAnsi"/>
                <w:color w:val="000000"/>
                <w:sz w:val="20"/>
                <w:szCs w:val="20"/>
              </w:rPr>
              <w:t>331221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DE6ECC0" w14:textId="77777777" w:rsidR="009D4255" w:rsidRPr="000422F8" w:rsidRDefault="009D4255" w:rsidP="009D4255">
            <w:pPr>
              <w:keepNext/>
              <w:spacing w:after="0" w:line="240" w:lineRule="auto"/>
              <w:rPr>
                <w:rFonts w:eastAsia="Times New Roman" w:cstheme="minorHAnsi"/>
                <w:sz w:val="20"/>
                <w:szCs w:val="20"/>
              </w:rPr>
            </w:pPr>
            <w:r w:rsidRPr="000422F8">
              <w:rPr>
                <w:rFonts w:eastAsia="Times New Roman" w:cstheme="minorHAnsi"/>
                <w:color w:val="000000"/>
                <w:sz w:val="20"/>
                <w:szCs w:val="20"/>
              </w:rPr>
              <w:t xml:space="preserve">Rolled Steel Shape Manufacturing </w:t>
            </w:r>
          </w:p>
        </w:tc>
        <w:tc>
          <w:tcPr>
            <w:tcW w:w="2932" w:type="dxa"/>
            <w:vMerge/>
            <w:tcBorders>
              <w:left w:val="outset" w:sz="6" w:space="0" w:color="D0D7E5"/>
              <w:right w:val="outset" w:sz="6" w:space="0" w:color="D0D7E5"/>
            </w:tcBorders>
            <w:shd w:val="clear" w:color="auto" w:fill="FFFFFF"/>
            <w:vAlign w:val="center"/>
          </w:tcPr>
          <w:p w14:paraId="20845E95" w14:textId="35FDEC4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2A7F662" w14:textId="112D4271"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11CC4E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331511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CDAD84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Iron Foundries </w:t>
            </w:r>
          </w:p>
        </w:tc>
        <w:tc>
          <w:tcPr>
            <w:tcW w:w="2932" w:type="dxa"/>
            <w:vMerge/>
            <w:tcBorders>
              <w:left w:val="outset" w:sz="6" w:space="0" w:color="D0D7E5"/>
              <w:right w:val="outset" w:sz="6" w:space="0" w:color="D0D7E5"/>
            </w:tcBorders>
            <w:shd w:val="clear" w:color="auto" w:fill="FFFFFF"/>
            <w:vAlign w:val="center"/>
          </w:tcPr>
          <w:p w14:paraId="105A9809" w14:textId="695D176F"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6D06FA5" w14:textId="7E874079"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0A3D83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331313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8DCB9C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Alumina Refining and Primary Aluminum Production </w:t>
            </w:r>
          </w:p>
        </w:tc>
        <w:tc>
          <w:tcPr>
            <w:tcW w:w="2932" w:type="dxa"/>
            <w:vMerge/>
            <w:tcBorders>
              <w:left w:val="outset" w:sz="6" w:space="0" w:color="D0D7E5"/>
              <w:right w:val="outset" w:sz="6" w:space="0" w:color="D0D7E5"/>
            </w:tcBorders>
            <w:shd w:val="clear" w:color="auto" w:fill="FFFFFF"/>
            <w:vAlign w:val="center"/>
          </w:tcPr>
          <w:p w14:paraId="25C14C6F" w14:textId="3358E267"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7DFE96F" w14:textId="039DF626"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557F10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331492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82112EC"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Secondary Smelting, Refining, and Alloying of Nonferrous Metal (except Copper and Aluminum) </w:t>
            </w:r>
          </w:p>
        </w:tc>
        <w:tc>
          <w:tcPr>
            <w:tcW w:w="2932" w:type="dxa"/>
            <w:vMerge/>
            <w:tcBorders>
              <w:left w:val="outset" w:sz="6" w:space="0" w:color="D0D7E5"/>
              <w:right w:val="outset" w:sz="6" w:space="0" w:color="D0D7E5"/>
            </w:tcBorders>
            <w:shd w:val="clear" w:color="auto" w:fill="FFFFFF"/>
            <w:vAlign w:val="center"/>
          </w:tcPr>
          <w:p w14:paraId="5DF8CFA4" w14:textId="73F26487"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F030D03" w14:textId="2D42BD7E"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40B314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331410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786875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Nonferrous Metal (except Aluminum) Smelting and Refining </w:t>
            </w:r>
          </w:p>
        </w:tc>
        <w:tc>
          <w:tcPr>
            <w:tcW w:w="2932" w:type="dxa"/>
            <w:vMerge/>
            <w:tcBorders>
              <w:left w:val="outset" w:sz="6" w:space="0" w:color="D0D7E5"/>
              <w:right w:val="outset" w:sz="6" w:space="0" w:color="D0D7E5"/>
            </w:tcBorders>
            <w:shd w:val="clear" w:color="auto" w:fill="FFFFFF"/>
            <w:vAlign w:val="center"/>
          </w:tcPr>
          <w:p w14:paraId="746C485D" w14:textId="35078A73"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3CCEA1A" w14:textId="7920FD76"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3172852"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331314</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D20864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Secondary Smelting and Alloying of Aluminum </w:t>
            </w:r>
          </w:p>
        </w:tc>
        <w:tc>
          <w:tcPr>
            <w:tcW w:w="2932" w:type="dxa"/>
            <w:vMerge/>
            <w:tcBorders>
              <w:left w:val="outset" w:sz="6" w:space="0" w:color="D0D7E5"/>
              <w:right w:val="outset" w:sz="6" w:space="0" w:color="D0D7E5"/>
            </w:tcBorders>
            <w:shd w:val="clear" w:color="auto" w:fill="FFFFFF"/>
            <w:vAlign w:val="center"/>
          </w:tcPr>
          <w:p w14:paraId="01A88471" w14:textId="7D573DE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938F825" w14:textId="38ED9E2C"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73DAED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lastRenderedPageBreak/>
              <w:t>33111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7D1731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Iron and Steel Mills and Ferroalloy Manufacturing</w:t>
            </w:r>
          </w:p>
        </w:tc>
        <w:tc>
          <w:tcPr>
            <w:tcW w:w="2932" w:type="dxa"/>
            <w:vMerge/>
            <w:tcBorders>
              <w:left w:val="outset" w:sz="6" w:space="0" w:color="D0D7E5"/>
              <w:right w:val="outset" w:sz="6" w:space="0" w:color="D0D7E5"/>
            </w:tcBorders>
            <w:shd w:val="clear" w:color="auto" w:fill="FFFFFF"/>
            <w:vAlign w:val="center"/>
          </w:tcPr>
          <w:p w14:paraId="0ED9BD87" w14:textId="16EEEF36"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BAF04B8" w14:textId="5248A42E"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99485AC"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331315</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B6F662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Aluminum Sheet, Plate, and Foil Manufacturing </w:t>
            </w:r>
          </w:p>
        </w:tc>
        <w:tc>
          <w:tcPr>
            <w:tcW w:w="2932" w:type="dxa"/>
            <w:vMerge/>
            <w:tcBorders>
              <w:left w:val="outset" w:sz="6" w:space="0" w:color="D0D7E5"/>
              <w:right w:val="outset" w:sz="6" w:space="0" w:color="D0D7E5"/>
            </w:tcBorders>
            <w:shd w:val="clear" w:color="auto" w:fill="FFFFFF"/>
            <w:vAlign w:val="center"/>
          </w:tcPr>
          <w:p w14:paraId="47CF6522" w14:textId="675B9CE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8A91385" w14:textId="7A679CD2"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454C7C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331318</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099D5B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Other Aluminum Rolling, Drawing, and Extruding </w:t>
            </w:r>
          </w:p>
        </w:tc>
        <w:tc>
          <w:tcPr>
            <w:tcW w:w="2932" w:type="dxa"/>
            <w:vMerge/>
            <w:tcBorders>
              <w:left w:val="outset" w:sz="6" w:space="0" w:color="D0D7E5"/>
              <w:right w:val="outset" w:sz="6" w:space="0" w:color="D0D7E5"/>
            </w:tcBorders>
            <w:shd w:val="clear" w:color="auto" w:fill="FFFFFF"/>
            <w:vAlign w:val="center"/>
          </w:tcPr>
          <w:p w14:paraId="73F80B76" w14:textId="409ED276"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3D5B779" w14:textId="0DDCB2B8"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95E8BB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331222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F3AF50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Steel Wire Drawing </w:t>
            </w:r>
          </w:p>
        </w:tc>
        <w:tc>
          <w:tcPr>
            <w:tcW w:w="2932" w:type="dxa"/>
            <w:vMerge/>
            <w:tcBorders>
              <w:left w:val="outset" w:sz="6" w:space="0" w:color="D0D7E5"/>
              <w:right w:val="outset" w:sz="6" w:space="0" w:color="D0D7E5"/>
            </w:tcBorders>
            <w:shd w:val="clear" w:color="auto" w:fill="FFFFFF"/>
            <w:vAlign w:val="center"/>
          </w:tcPr>
          <w:p w14:paraId="66C0F244" w14:textId="27FCC77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2CB630F" w14:textId="131B081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8EC78D2"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331491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AD39A1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Nonferrous Metal (except Copper and Aluminum) Rolling, Drawing, and Extruding </w:t>
            </w:r>
          </w:p>
        </w:tc>
        <w:tc>
          <w:tcPr>
            <w:tcW w:w="2932" w:type="dxa"/>
            <w:vMerge/>
            <w:tcBorders>
              <w:left w:val="outset" w:sz="6" w:space="0" w:color="D0D7E5"/>
              <w:right w:val="outset" w:sz="6" w:space="0" w:color="D0D7E5"/>
            </w:tcBorders>
            <w:shd w:val="clear" w:color="auto" w:fill="FFFFFF"/>
            <w:vAlign w:val="center"/>
          </w:tcPr>
          <w:p w14:paraId="0F12886B" w14:textId="277D0ED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AA61D11" w14:textId="55082279"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FA41635"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331210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E9CA65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Iron and Steel Pipe and Tube Manufacturing from Purchased Steel</w:t>
            </w:r>
          </w:p>
        </w:tc>
        <w:tc>
          <w:tcPr>
            <w:tcW w:w="2932" w:type="dxa"/>
            <w:vMerge/>
            <w:tcBorders>
              <w:left w:val="outset" w:sz="6" w:space="0" w:color="D0D7E5"/>
              <w:right w:val="outset" w:sz="6" w:space="0" w:color="D0D7E5"/>
            </w:tcBorders>
            <w:shd w:val="clear" w:color="auto" w:fill="FFFFFF"/>
            <w:vAlign w:val="center"/>
          </w:tcPr>
          <w:p w14:paraId="341F5F3D" w14:textId="03AE926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C42B666" w14:textId="3295747D"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1B5D74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33131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9EE0BA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Alumina and Aluminum Production and Processing</w:t>
            </w:r>
          </w:p>
        </w:tc>
        <w:tc>
          <w:tcPr>
            <w:tcW w:w="2932" w:type="dxa"/>
            <w:vMerge/>
            <w:tcBorders>
              <w:left w:val="outset" w:sz="6" w:space="0" w:color="D0D7E5"/>
              <w:right w:val="outset" w:sz="6" w:space="0" w:color="D0D7E5"/>
            </w:tcBorders>
            <w:shd w:val="clear" w:color="auto" w:fill="FFFFFF"/>
            <w:vAlign w:val="center"/>
          </w:tcPr>
          <w:p w14:paraId="2AA2A445" w14:textId="5B32C2B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635E41D" w14:textId="3C84C222"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65C5CF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331524</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D2CAEAC"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Aluminum Foundries (except Die-Casting) </w:t>
            </w:r>
          </w:p>
        </w:tc>
        <w:tc>
          <w:tcPr>
            <w:tcW w:w="2932" w:type="dxa"/>
            <w:vMerge/>
            <w:tcBorders>
              <w:left w:val="outset" w:sz="6" w:space="0" w:color="D0D7E5"/>
              <w:right w:val="outset" w:sz="6" w:space="0" w:color="D0D7E5"/>
            </w:tcBorders>
            <w:shd w:val="clear" w:color="auto" w:fill="FFFFFF"/>
            <w:vAlign w:val="center"/>
          </w:tcPr>
          <w:p w14:paraId="4C186EBD" w14:textId="4564F61E"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AFE795A" w14:textId="605D211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C7CE80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331523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DEDE88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Nonferrous Metal Die-Casting Foundries </w:t>
            </w:r>
          </w:p>
        </w:tc>
        <w:tc>
          <w:tcPr>
            <w:tcW w:w="2932" w:type="dxa"/>
            <w:vMerge/>
            <w:tcBorders>
              <w:left w:val="outset" w:sz="6" w:space="0" w:color="D0D7E5"/>
              <w:right w:val="outset" w:sz="6" w:space="0" w:color="D0D7E5"/>
            </w:tcBorders>
            <w:shd w:val="clear" w:color="auto" w:fill="FFFFFF"/>
            <w:vAlign w:val="center"/>
          </w:tcPr>
          <w:p w14:paraId="6FCABCA0" w14:textId="4D42BE9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1E99535" w14:textId="4FB3477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F826AA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331513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14868C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Steel Foundries (except Investment) </w:t>
            </w:r>
          </w:p>
        </w:tc>
        <w:tc>
          <w:tcPr>
            <w:tcW w:w="2932" w:type="dxa"/>
            <w:vMerge/>
            <w:tcBorders>
              <w:left w:val="outset" w:sz="6" w:space="0" w:color="D0D7E5"/>
              <w:right w:val="outset" w:sz="6" w:space="0" w:color="D0D7E5"/>
            </w:tcBorders>
            <w:shd w:val="clear" w:color="auto" w:fill="FFFFFF"/>
            <w:vAlign w:val="center"/>
          </w:tcPr>
          <w:p w14:paraId="2BC8F466" w14:textId="149714C1"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F027A0B" w14:textId="5754BCED"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90DDB1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331420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E88BE8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Copper Rolling, Drawing, Extruding, and Alloying</w:t>
            </w:r>
          </w:p>
        </w:tc>
        <w:tc>
          <w:tcPr>
            <w:tcW w:w="2932" w:type="dxa"/>
            <w:vMerge/>
            <w:tcBorders>
              <w:left w:val="outset" w:sz="6" w:space="0" w:color="D0D7E5"/>
              <w:right w:val="outset" w:sz="6" w:space="0" w:color="D0D7E5"/>
            </w:tcBorders>
            <w:shd w:val="clear" w:color="auto" w:fill="FFFFFF"/>
            <w:vAlign w:val="center"/>
          </w:tcPr>
          <w:p w14:paraId="68E0C210" w14:textId="0303FEC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9099DD5" w14:textId="1181C438"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D10BD8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33141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314338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Nonferrous Metal (except Aluminum) Smelting and Refining</w:t>
            </w:r>
          </w:p>
        </w:tc>
        <w:tc>
          <w:tcPr>
            <w:tcW w:w="2932" w:type="dxa"/>
            <w:vMerge/>
            <w:tcBorders>
              <w:left w:val="outset" w:sz="6" w:space="0" w:color="D0D7E5"/>
              <w:right w:val="outset" w:sz="6" w:space="0" w:color="D0D7E5"/>
            </w:tcBorders>
            <w:shd w:val="clear" w:color="auto" w:fill="FFFFFF"/>
            <w:vAlign w:val="center"/>
          </w:tcPr>
          <w:p w14:paraId="3A515B1B" w14:textId="4B525A95"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87D3FAC" w14:textId="5E20EE9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0F8BB6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331529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E2BFC5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Other Nonferrous Metal Foundries (except Die-Casting) </w:t>
            </w:r>
          </w:p>
        </w:tc>
        <w:tc>
          <w:tcPr>
            <w:tcW w:w="2932" w:type="dxa"/>
            <w:vMerge/>
            <w:tcBorders>
              <w:left w:val="outset" w:sz="6" w:space="0" w:color="D0D7E5"/>
              <w:right w:val="outset" w:sz="6" w:space="0" w:color="D0D7E5"/>
            </w:tcBorders>
            <w:shd w:val="clear" w:color="auto" w:fill="FFFFFF"/>
            <w:vAlign w:val="center"/>
          </w:tcPr>
          <w:p w14:paraId="306D8074" w14:textId="3169DFBF"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A041735" w14:textId="73E5B01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80072B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331512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80D1C5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 xml:space="preserve">Steel Investment Foundries </w:t>
            </w:r>
          </w:p>
        </w:tc>
        <w:tc>
          <w:tcPr>
            <w:tcW w:w="2932" w:type="dxa"/>
            <w:vMerge/>
            <w:tcBorders>
              <w:left w:val="outset" w:sz="6" w:space="0" w:color="D0D7E5"/>
              <w:right w:val="outset" w:sz="6" w:space="0" w:color="D0D7E5"/>
            </w:tcBorders>
            <w:shd w:val="clear" w:color="auto" w:fill="FFFFFF"/>
            <w:vAlign w:val="center"/>
          </w:tcPr>
          <w:p w14:paraId="4DA0526B" w14:textId="45B9762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E07FB70" w14:textId="1A86AF69"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9FB26B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D407CF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Iron and Steel Pipe and Tube Manufacturing from Purchased Steel</w:t>
            </w:r>
          </w:p>
        </w:tc>
        <w:tc>
          <w:tcPr>
            <w:tcW w:w="2932" w:type="dxa"/>
            <w:vMerge/>
            <w:tcBorders>
              <w:left w:val="outset" w:sz="6" w:space="0" w:color="D0D7E5"/>
              <w:right w:val="outset" w:sz="6" w:space="0" w:color="D0D7E5"/>
            </w:tcBorders>
            <w:shd w:val="clear" w:color="auto" w:fill="FFFFFF"/>
            <w:vAlign w:val="center"/>
          </w:tcPr>
          <w:p w14:paraId="3C040F22" w14:textId="76F6B937"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995A293" w14:textId="02C569D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3459F0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4ACF08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Iron and Steel Mills and Ferroalloy Manufacturing</w:t>
            </w:r>
          </w:p>
        </w:tc>
        <w:tc>
          <w:tcPr>
            <w:tcW w:w="2932" w:type="dxa"/>
            <w:vMerge/>
            <w:tcBorders>
              <w:left w:val="outset" w:sz="6" w:space="0" w:color="D0D7E5"/>
              <w:right w:val="outset" w:sz="6" w:space="0" w:color="D0D7E5"/>
            </w:tcBorders>
            <w:shd w:val="clear" w:color="auto" w:fill="FFFFFF"/>
            <w:vAlign w:val="center"/>
          </w:tcPr>
          <w:p w14:paraId="6A7A1274" w14:textId="722C6744"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97BBF47" w14:textId="6822D291"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C8AB3B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0BEF9A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Steel Product Manufacturing from Purchased Steel</w:t>
            </w:r>
          </w:p>
        </w:tc>
        <w:tc>
          <w:tcPr>
            <w:tcW w:w="2932" w:type="dxa"/>
            <w:vMerge/>
            <w:tcBorders>
              <w:left w:val="outset" w:sz="6" w:space="0" w:color="D0D7E5"/>
              <w:right w:val="outset" w:sz="6" w:space="0" w:color="D0D7E5"/>
            </w:tcBorders>
            <w:shd w:val="clear" w:color="auto" w:fill="FFFFFF"/>
            <w:vAlign w:val="center"/>
          </w:tcPr>
          <w:p w14:paraId="1AF50122" w14:textId="2C82984F"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CC6A511" w14:textId="443943E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B65D13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3314</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5DE509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Nonferrous Metal (except Aluminum) Production and Processing</w:t>
            </w:r>
          </w:p>
        </w:tc>
        <w:tc>
          <w:tcPr>
            <w:tcW w:w="2932" w:type="dxa"/>
            <w:vMerge/>
            <w:tcBorders>
              <w:left w:val="outset" w:sz="6" w:space="0" w:color="D0D7E5"/>
              <w:right w:val="outset" w:sz="6" w:space="0" w:color="D0D7E5"/>
            </w:tcBorders>
            <w:shd w:val="clear" w:color="auto" w:fill="FFFFFF"/>
            <w:vAlign w:val="center"/>
          </w:tcPr>
          <w:p w14:paraId="63EDD000" w14:textId="2919EB3D"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CA149E8" w14:textId="355171DB"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BB772D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33122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40D4873"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Rolling and Drawing of Purchased Steel</w:t>
            </w:r>
          </w:p>
        </w:tc>
        <w:tc>
          <w:tcPr>
            <w:tcW w:w="2932" w:type="dxa"/>
            <w:vMerge/>
            <w:tcBorders>
              <w:left w:val="outset" w:sz="6" w:space="0" w:color="D0D7E5"/>
              <w:right w:val="outset" w:sz="6" w:space="0" w:color="D0D7E5"/>
            </w:tcBorders>
            <w:shd w:val="clear" w:color="auto" w:fill="FFFFFF"/>
            <w:vAlign w:val="center"/>
          </w:tcPr>
          <w:p w14:paraId="1089C0F1" w14:textId="62624326"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4D87769" w14:textId="0FBBA3FD"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29D12F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33142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9DAAAD5"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Copper Rolling, Drawing, Extruding, and Alloying</w:t>
            </w:r>
          </w:p>
        </w:tc>
        <w:tc>
          <w:tcPr>
            <w:tcW w:w="2932" w:type="dxa"/>
            <w:vMerge/>
            <w:tcBorders>
              <w:left w:val="outset" w:sz="6" w:space="0" w:color="D0D7E5"/>
              <w:right w:val="outset" w:sz="6" w:space="0" w:color="D0D7E5"/>
            </w:tcBorders>
            <w:shd w:val="clear" w:color="auto" w:fill="FFFFFF"/>
            <w:vAlign w:val="center"/>
          </w:tcPr>
          <w:p w14:paraId="2C8ECA7F" w14:textId="6EB6E749"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FF0B890" w14:textId="7CFB3CB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F69BC4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33151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34D84E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Ferrous Metal Foundries</w:t>
            </w:r>
          </w:p>
        </w:tc>
        <w:tc>
          <w:tcPr>
            <w:tcW w:w="2932" w:type="dxa"/>
            <w:vMerge/>
            <w:tcBorders>
              <w:left w:val="outset" w:sz="6" w:space="0" w:color="D0D7E5"/>
              <w:right w:val="outset" w:sz="6" w:space="0" w:color="D0D7E5"/>
            </w:tcBorders>
            <w:shd w:val="clear" w:color="auto" w:fill="FFFFFF"/>
            <w:vAlign w:val="center"/>
          </w:tcPr>
          <w:p w14:paraId="4D54CC09" w14:textId="79D3DD9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235A74C" w14:textId="49245ED8"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0E51E9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33152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782063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Nonferrous Metal Foundries</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13575BB0" w14:textId="4FE8F6A5"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DD6BA3F" w14:textId="196532E6"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F6012B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327410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6B0205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Lime Manufacturing</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5A5E71BA" w14:textId="3A420DDB"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Lime Manufacturing</w:t>
            </w:r>
          </w:p>
        </w:tc>
      </w:tr>
      <w:tr w:rsidR="009D4255" w:rsidRPr="006D4D84" w14:paraId="40EC033C" w14:textId="743DD40B"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1B3E5A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32741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98365F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Lime Manufacturing</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02FCA448" w14:textId="5347627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27E536C" w14:textId="3137226B"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944DF5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327211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BA2E02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Flat Glass Manufacturing</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2B30288F" w14:textId="760074EE"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Glass Manufacturing</w:t>
            </w:r>
          </w:p>
        </w:tc>
      </w:tr>
      <w:tr w:rsidR="009D4255" w:rsidRPr="006D4D84" w14:paraId="71B0B9C2" w14:textId="7190BD9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353177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327212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F98BDA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Other Pressed and Blown Glass and Glassware Manufacturing</w:t>
            </w:r>
          </w:p>
        </w:tc>
        <w:tc>
          <w:tcPr>
            <w:tcW w:w="2932" w:type="dxa"/>
            <w:vMerge/>
            <w:tcBorders>
              <w:left w:val="outset" w:sz="6" w:space="0" w:color="D0D7E5"/>
              <w:right w:val="outset" w:sz="6" w:space="0" w:color="D0D7E5"/>
            </w:tcBorders>
            <w:shd w:val="clear" w:color="auto" w:fill="FFFFFF"/>
            <w:vAlign w:val="center"/>
          </w:tcPr>
          <w:p w14:paraId="58C5C97B" w14:textId="7498321C"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3327D66" w14:textId="36CF511F"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3D33E9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327213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432FD7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Glass Container Manufacturing</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4A67D925" w14:textId="0DC74AB2"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B663408" w14:textId="0D0233D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3016A4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325110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5AEBBC5"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Petrochemical Manufacturing</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288B78F4" w14:textId="68DFCE21"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Petrochemical Manufacturing</w:t>
            </w:r>
          </w:p>
        </w:tc>
      </w:tr>
      <w:tr w:rsidR="009D4255" w:rsidRPr="006D4D84" w14:paraId="6C3E07B7" w14:textId="09ABE4D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AE6EAF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32511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337BC4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Petrochemical Manufacturing</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2275AD92" w14:textId="31893F25"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282AEED" w14:textId="179081C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2BAEC3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324199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1FEAEB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All Other Petroleum and Coal Products Manufacturing</w:t>
            </w:r>
          </w:p>
        </w:tc>
        <w:tc>
          <w:tcPr>
            <w:tcW w:w="2932"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1DCE4FB6" w14:textId="5B5FFEFE"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Other Petroleum and Coal Products Manufacturing</w:t>
            </w:r>
          </w:p>
        </w:tc>
      </w:tr>
      <w:tr w:rsidR="009D4255" w:rsidRPr="006D4D84" w14:paraId="6E946584" w14:textId="0ED4ABFF"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A7D9655"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325180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18320F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Other Basic Inorganic Chemical Manufacturing</w:t>
            </w:r>
          </w:p>
        </w:tc>
        <w:tc>
          <w:tcPr>
            <w:tcW w:w="2932"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0FD715EE" w14:textId="0CC64EFD"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Other Basic Inorganic Chemical Manufacturing</w:t>
            </w:r>
          </w:p>
        </w:tc>
      </w:tr>
      <w:tr w:rsidR="009D4255" w:rsidRPr="006D4D84" w14:paraId="6FECED55" w14:textId="4970F918"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E07653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321113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5D60E3C"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Sawmills</w:t>
            </w:r>
          </w:p>
        </w:tc>
        <w:tc>
          <w:tcPr>
            <w:tcW w:w="2932"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0E10D8F3" w14:textId="2ED0E4ED"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Sawmills</w:t>
            </w:r>
          </w:p>
        </w:tc>
      </w:tr>
      <w:tr w:rsidR="009D4255" w:rsidRPr="006D4D84" w14:paraId="644B3BF2" w14:textId="375FA3D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F59D867"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321219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3A2B6C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Reconstituted Wood Product Manufacturing</w:t>
            </w:r>
          </w:p>
        </w:tc>
        <w:tc>
          <w:tcPr>
            <w:tcW w:w="2932" w:type="dxa"/>
            <w:tcBorders>
              <w:top w:val="outset" w:sz="6" w:space="0" w:color="D0D7E5"/>
              <w:left w:val="outset" w:sz="6" w:space="0" w:color="D0D7E5"/>
              <w:bottom w:val="outset" w:sz="6" w:space="0" w:color="D0D7E5"/>
              <w:right w:val="outset" w:sz="6" w:space="0" w:color="D0D7E5"/>
            </w:tcBorders>
            <w:shd w:val="clear" w:color="auto" w:fill="FFFFFF"/>
            <w:vAlign w:val="center"/>
          </w:tcPr>
          <w:p w14:paraId="6B1D4678" w14:textId="1EEB2799"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Reconstituted Wood Product Manufacturing</w:t>
            </w:r>
          </w:p>
        </w:tc>
      </w:tr>
      <w:tr w:rsidR="009D4255" w:rsidRPr="006D4D84" w14:paraId="7254EBF5" w14:textId="5D2561D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547A794" w14:textId="77777777" w:rsidR="009D4255" w:rsidRPr="000422F8" w:rsidRDefault="009D4255" w:rsidP="000422F8">
            <w:pPr>
              <w:keepNext/>
              <w:spacing w:after="0" w:line="240" w:lineRule="auto"/>
              <w:rPr>
                <w:rFonts w:eastAsia="Times New Roman" w:cstheme="minorHAnsi"/>
                <w:sz w:val="20"/>
                <w:szCs w:val="20"/>
              </w:rPr>
            </w:pPr>
            <w:r w:rsidRPr="000422F8">
              <w:rPr>
                <w:rFonts w:eastAsia="Times New Roman" w:cstheme="minorHAnsi"/>
                <w:color w:val="000000"/>
                <w:sz w:val="20"/>
                <w:szCs w:val="20"/>
              </w:rPr>
              <w:lastRenderedPageBreak/>
              <w:t>325211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D63A243" w14:textId="77777777" w:rsidR="009D4255" w:rsidRPr="000422F8" w:rsidRDefault="009D4255" w:rsidP="000422F8">
            <w:pPr>
              <w:keepNext/>
              <w:spacing w:after="0" w:line="240" w:lineRule="auto"/>
              <w:rPr>
                <w:rFonts w:eastAsia="Times New Roman" w:cstheme="minorHAnsi"/>
                <w:sz w:val="20"/>
                <w:szCs w:val="20"/>
              </w:rPr>
            </w:pPr>
            <w:r w:rsidRPr="000422F8">
              <w:rPr>
                <w:rFonts w:eastAsia="Times New Roman" w:cstheme="minorHAnsi"/>
                <w:color w:val="000000"/>
                <w:sz w:val="20"/>
                <w:szCs w:val="20"/>
              </w:rPr>
              <w:t>Plastics Material and Resin Manufacturing</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7E27D690" w14:textId="3E5AE7B5"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Plastics Manufacturing</w:t>
            </w:r>
          </w:p>
        </w:tc>
      </w:tr>
      <w:tr w:rsidR="009D4255" w:rsidRPr="006D4D84" w14:paraId="03892502" w14:textId="595F4181"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EED0D8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A06020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Unlaminated Plastics Film and Sheet (except Packaging) Manufacturing</w:t>
            </w:r>
          </w:p>
        </w:tc>
        <w:tc>
          <w:tcPr>
            <w:tcW w:w="2932" w:type="dxa"/>
            <w:vMerge/>
            <w:tcBorders>
              <w:left w:val="outset" w:sz="6" w:space="0" w:color="D0D7E5"/>
              <w:right w:val="outset" w:sz="6" w:space="0" w:color="D0D7E5"/>
            </w:tcBorders>
            <w:shd w:val="clear" w:color="auto" w:fill="FFFFFF"/>
            <w:vAlign w:val="center"/>
          </w:tcPr>
          <w:p w14:paraId="3660E0FC" w14:textId="794835EB"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3CB7BFD4" w14:textId="3DA3E556"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F5D7C5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326121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B8D746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Unlaminated Plastics Profile Shape Manufacturing</w:t>
            </w:r>
          </w:p>
        </w:tc>
        <w:tc>
          <w:tcPr>
            <w:tcW w:w="2932" w:type="dxa"/>
            <w:vMerge/>
            <w:tcBorders>
              <w:left w:val="outset" w:sz="6" w:space="0" w:color="D0D7E5"/>
              <w:right w:val="outset" w:sz="6" w:space="0" w:color="D0D7E5"/>
            </w:tcBorders>
            <w:shd w:val="clear" w:color="auto" w:fill="FFFFFF"/>
            <w:vAlign w:val="center"/>
          </w:tcPr>
          <w:p w14:paraId="53A1DA26" w14:textId="62498383"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945174F" w14:textId="033ACFB5"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0470B9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326220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31A769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Rubber and Plastics Hoses and Belting Manufacturing</w:t>
            </w:r>
          </w:p>
        </w:tc>
        <w:tc>
          <w:tcPr>
            <w:tcW w:w="2932" w:type="dxa"/>
            <w:vMerge/>
            <w:tcBorders>
              <w:left w:val="outset" w:sz="6" w:space="0" w:color="D0D7E5"/>
              <w:right w:val="outset" w:sz="6" w:space="0" w:color="D0D7E5"/>
            </w:tcBorders>
            <w:shd w:val="clear" w:color="auto" w:fill="FFFFFF"/>
            <w:vAlign w:val="center"/>
          </w:tcPr>
          <w:p w14:paraId="023EF573" w14:textId="39471E45"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7AF96485" w14:textId="445AF41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A9C2D5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326199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2E6CAA8"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All Other Plastics Product Manufacturing</w:t>
            </w:r>
          </w:p>
        </w:tc>
        <w:tc>
          <w:tcPr>
            <w:tcW w:w="2932" w:type="dxa"/>
            <w:vMerge/>
            <w:tcBorders>
              <w:left w:val="outset" w:sz="6" w:space="0" w:color="D0D7E5"/>
              <w:right w:val="outset" w:sz="6" w:space="0" w:color="D0D7E5"/>
            </w:tcBorders>
            <w:shd w:val="clear" w:color="auto" w:fill="FFFFFF"/>
            <w:vAlign w:val="center"/>
          </w:tcPr>
          <w:p w14:paraId="70526FAF" w14:textId="78610332"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213DA5B" w14:textId="25938FA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C924C2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326130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B7D5432"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Laminated Plastics Plate, Sheet (except Packaging), and Shape Manufacturing</w:t>
            </w:r>
          </w:p>
        </w:tc>
        <w:tc>
          <w:tcPr>
            <w:tcW w:w="2932" w:type="dxa"/>
            <w:vMerge/>
            <w:tcBorders>
              <w:left w:val="outset" w:sz="6" w:space="0" w:color="D0D7E5"/>
              <w:right w:val="outset" w:sz="6" w:space="0" w:color="D0D7E5"/>
            </w:tcBorders>
            <w:shd w:val="clear" w:color="auto" w:fill="FFFFFF"/>
            <w:vAlign w:val="center"/>
          </w:tcPr>
          <w:p w14:paraId="28F9BB21" w14:textId="3CC495F7"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6DCD066" w14:textId="0F8C97D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EACA6E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326122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CB56B2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Plastics Pipe and Pipe Fitting Manufacturing</w:t>
            </w:r>
          </w:p>
        </w:tc>
        <w:tc>
          <w:tcPr>
            <w:tcW w:w="2932" w:type="dxa"/>
            <w:vMerge/>
            <w:tcBorders>
              <w:left w:val="outset" w:sz="6" w:space="0" w:color="D0D7E5"/>
              <w:right w:val="outset" w:sz="6" w:space="0" w:color="D0D7E5"/>
            </w:tcBorders>
            <w:shd w:val="clear" w:color="auto" w:fill="FFFFFF"/>
            <w:vAlign w:val="center"/>
          </w:tcPr>
          <w:p w14:paraId="1FA9C516" w14:textId="5CBA07DC"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18647E3" w14:textId="4EFA9663"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0339DF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326160</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C9CAC2E"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Plastics Bottle Manufacturing</w:t>
            </w:r>
          </w:p>
        </w:tc>
        <w:tc>
          <w:tcPr>
            <w:tcW w:w="2932" w:type="dxa"/>
            <w:vMerge/>
            <w:tcBorders>
              <w:left w:val="outset" w:sz="6" w:space="0" w:color="D0D7E5"/>
              <w:right w:val="outset" w:sz="6" w:space="0" w:color="D0D7E5"/>
            </w:tcBorders>
            <w:shd w:val="clear" w:color="auto" w:fill="FFFFFF"/>
            <w:vAlign w:val="center"/>
          </w:tcPr>
          <w:p w14:paraId="7E68330C" w14:textId="67CC68AC"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FBAE6B3" w14:textId="7E7B4074"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780ADF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317B656"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Plastics Packaging Film and Sheet (including Laminated) Manufacturing</w:t>
            </w:r>
          </w:p>
        </w:tc>
        <w:tc>
          <w:tcPr>
            <w:tcW w:w="2932" w:type="dxa"/>
            <w:vMerge/>
            <w:tcBorders>
              <w:left w:val="outset" w:sz="6" w:space="0" w:color="D0D7E5"/>
              <w:right w:val="outset" w:sz="6" w:space="0" w:color="D0D7E5"/>
            </w:tcBorders>
            <w:shd w:val="clear" w:color="auto" w:fill="FFFFFF"/>
            <w:vAlign w:val="center"/>
          </w:tcPr>
          <w:p w14:paraId="59648DF6" w14:textId="27D881F3"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1E89040A" w14:textId="01A6FEE5"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031124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326191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D7F7A7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Plastics Plumbing Fixture Manufacturing</w:t>
            </w:r>
          </w:p>
        </w:tc>
        <w:tc>
          <w:tcPr>
            <w:tcW w:w="2932" w:type="dxa"/>
            <w:vMerge/>
            <w:tcBorders>
              <w:left w:val="outset" w:sz="6" w:space="0" w:color="D0D7E5"/>
              <w:right w:val="outset" w:sz="6" w:space="0" w:color="D0D7E5"/>
            </w:tcBorders>
            <w:shd w:val="clear" w:color="auto" w:fill="FFFFFF"/>
            <w:vAlign w:val="center"/>
          </w:tcPr>
          <w:p w14:paraId="7E8D5993" w14:textId="37FE1D98"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78D07B4" w14:textId="0FB25A1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96CB619"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46A27F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Plastics Bag and Pouch Manufacturing</w:t>
            </w:r>
          </w:p>
        </w:tc>
        <w:tc>
          <w:tcPr>
            <w:tcW w:w="2932" w:type="dxa"/>
            <w:vMerge/>
            <w:tcBorders>
              <w:left w:val="outset" w:sz="6" w:space="0" w:color="D0D7E5"/>
              <w:right w:val="outset" w:sz="6" w:space="0" w:color="D0D7E5"/>
            </w:tcBorders>
            <w:shd w:val="clear" w:color="auto" w:fill="FFFFFF"/>
            <w:vAlign w:val="center"/>
          </w:tcPr>
          <w:p w14:paraId="4835C7FE" w14:textId="2AC233A6"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5AA9F53" w14:textId="52462D3F"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86D425B"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28F838E0"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Plastics Product Manufacturing</w:t>
            </w:r>
          </w:p>
        </w:tc>
        <w:tc>
          <w:tcPr>
            <w:tcW w:w="2932" w:type="dxa"/>
            <w:vMerge/>
            <w:tcBorders>
              <w:left w:val="outset" w:sz="6" w:space="0" w:color="D0D7E5"/>
              <w:right w:val="outset" w:sz="6" w:space="0" w:color="D0D7E5"/>
            </w:tcBorders>
            <w:shd w:val="clear" w:color="auto" w:fill="FFFFFF"/>
            <w:vAlign w:val="center"/>
          </w:tcPr>
          <w:p w14:paraId="694298C9" w14:textId="77444290"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08B5D5DB" w14:textId="3AEC3B20"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DAF049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990F28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Unlaminated Plastics Profile Shape Manufacturing</w:t>
            </w:r>
          </w:p>
        </w:tc>
        <w:tc>
          <w:tcPr>
            <w:tcW w:w="2932" w:type="dxa"/>
            <w:vMerge/>
            <w:tcBorders>
              <w:left w:val="outset" w:sz="6" w:space="0" w:color="D0D7E5"/>
              <w:right w:val="outset" w:sz="6" w:space="0" w:color="D0D7E5"/>
            </w:tcBorders>
            <w:shd w:val="clear" w:color="auto" w:fill="FFFFFF"/>
            <w:vAlign w:val="center"/>
          </w:tcPr>
          <w:p w14:paraId="13A507E1" w14:textId="10BA97A9"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5472F8DA" w14:textId="3D2C00A1"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2D9E2BD"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32613</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0B5B9BC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Laminated Plastics Plate, Sheet (except Packaging), and Shape Manufacturing</w:t>
            </w:r>
          </w:p>
        </w:tc>
        <w:tc>
          <w:tcPr>
            <w:tcW w:w="2932" w:type="dxa"/>
            <w:vMerge/>
            <w:tcBorders>
              <w:left w:val="outset" w:sz="6" w:space="0" w:color="D0D7E5"/>
              <w:right w:val="outset" w:sz="6" w:space="0" w:color="D0D7E5"/>
            </w:tcBorders>
            <w:shd w:val="clear" w:color="auto" w:fill="FFFFFF"/>
            <w:vAlign w:val="center"/>
          </w:tcPr>
          <w:p w14:paraId="5C20FBAD" w14:textId="6158DFEC"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229B1A9B" w14:textId="7863F7DB"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9C1B6CF"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32619</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451DC85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Plastics Plumbing Fixture Manufacturing</w:t>
            </w:r>
          </w:p>
        </w:tc>
        <w:tc>
          <w:tcPr>
            <w:tcW w:w="2932" w:type="dxa"/>
            <w:vMerge/>
            <w:tcBorders>
              <w:left w:val="outset" w:sz="6" w:space="0" w:color="D0D7E5"/>
              <w:right w:val="outset" w:sz="6" w:space="0" w:color="D0D7E5"/>
            </w:tcBorders>
            <w:shd w:val="clear" w:color="auto" w:fill="FFFFFF"/>
            <w:vAlign w:val="center"/>
          </w:tcPr>
          <w:p w14:paraId="2E288EDC" w14:textId="29933D0C"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4F790B0F" w14:textId="64FD62F7"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335868DA"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32622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82E3375"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Rubber and Plastics Hoses and Belting Manufacturing</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67CA7DC9" w14:textId="1099C6CF" w:rsidR="009D4255" w:rsidRPr="000422F8" w:rsidRDefault="009D4255" w:rsidP="009D4255">
            <w:pPr>
              <w:spacing w:after="0" w:line="240" w:lineRule="auto"/>
              <w:rPr>
                <w:rFonts w:eastAsia="Times New Roman" w:cstheme="minorHAnsi"/>
                <w:color w:val="000000"/>
                <w:sz w:val="20"/>
                <w:szCs w:val="20"/>
              </w:rPr>
            </w:pPr>
          </w:p>
        </w:tc>
      </w:tr>
      <w:tr w:rsidR="009D4255" w:rsidRPr="006D4D84" w14:paraId="65AAAB75" w14:textId="5E4882FA"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71AA2C71"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325312</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198385A4" w14:textId="77777777" w:rsidR="009D4255" w:rsidRPr="000422F8" w:rsidRDefault="009D4255" w:rsidP="009D4255">
            <w:pPr>
              <w:spacing w:after="0" w:line="240" w:lineRule="auto"/>
              <w:rPr>
                <w:rFonts w:eastAsia="Times New Roman" w:cstheme="minorHAnsi"/>
                <w:sz w:val="20"/>
                <w:szCs w:val="20"/>
              </w:rPr>
            </w:pPr>
            <w:r w:rsidRPr="000422F8">
              <w:rPr>
                <w:rFonts w:eastAsia="Times New Roman" w:cstheme="minorHAnsi"/>
                <w:color w:val="000000"/>
                <w:sz w:val="20"/>
                <w:szCs w:val="20"/>
              </w:rPr>
              <w:t>Phosphatic Fertilizer Manufacturing</w:t>
            </w:r>
          </w:p>
        </w:tc>
        <w:tc>
          <w:tcPr>
            <w:tcW w:w="2932" w:type="dxa"/>
            <w:vMerge w:val="restart"/>
            <w:tcBorders>
              <w:top w:val="outset" w:sz="6" w:space="0" w:color="D0D7E5"/>
              <w:left w:val="outset" w:sz="6" w:space="0" w:color="D0D7E5"/>
              <w:right w:val="outset" w:sz="6" w:space="0" w:color="D0D7E5"/>
            </w:tcBorders>
            <w:shd w:val="clear" w:color="auto" w:fill="FFFFFF"/>
            <w:vAlign w:val="center"/>
          </w:tcPr>
          <w:p w14:paraId="1ED58D6F" w14:textId="55FCDD7D" w:rsidR="009D4255" w:rsidRPr="000422F8" w:rsidRDefault="009D4255" w:rsidP="009D4255">
            <w:pPr>
              <w:spacing w:after="0" w:line="240" w:lineRule="auto"/>
              <w:rPr>
                <w:rFonts w:eastAsia="Times New Roman" w:cstheme="minorHAnsi"/>
                <w:color w:val="000000"/>
                <w:sz w:val="20"/>
                <w:szCs w:val="20"/>
              </w:rPr>
            </w:pPr>
            <w:r w:rsidRPr="000422F8">
              <w:rPr>
                <w:rFonts w:eastAsia="Times New Roman" w:cstheme="minorHAnsi"/>
                <w:color w:val="000000"/>
                <w:sz w:val="20"/>
                <w:szCs w:val="20"/>
              </w:rPr>
              <w:t>Fertilizer Manufacturing</w:t>
            </w:r>
          </w:p>
        </w:tc>
      </w:tr>
      <w:tr w:rsidR="009D4255" w:rsidRPr="006D4D84" w14:paraId="5141F8B2" w14:textId="019FA249" w:rsidTr="000422F8">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5F80A143" w14:textId="77777777" w:rsidR="009D4255" w:rsidRPr="006D4D84" w:rsidRDefault="009D4255" w:rsidP="009D4255">
            <w:pPr>
              <w:spacing w:after="0" w:line="240" w:lineRule="auto"/>
              <w:rPr>
                <w:rFonts w:ascii="Times New Roman" w:eastAsia="Times New Roman" w:hAnsi="Times New Roman" w:cs="Times New Roman"/>
                <w:sz w:val="24"/>
                <w:szCs w:val="24"/>
              </w:rPr>
            </w:pPr>
            <w:r w:rsidRPr="006D4D84">
              <w:rPr>
                <w:rFonts w:ascii="Calibri" w:eastAsia="Times New Roman" w:hAnsi="Calibri" w:cs="Calibri"/>
                <w:color w:val="000000"/>
              </w:rPr>
              <w:t>325311</w:t>
            </w:r>
          </w:p>
        </w:tc>
        <w:tc>
          <w:tcPr>
            <w:tcW w:w="4988" w:type="dxa"/>
            <w:tcBorders>
              <w:top w:val="outset" w:sz="6" w:space="0" w:color="D0D7E5"/>
              <w:left w:val="outset" w:sz="6" w:space="0" w:color="D0D7E5"/>
              <w:bottom w:val="outset" w:sz="6" w:space="0" w:color="D0D7E5"/>
              <w:right w:val="outset" w:sz="6" w:space="0" w:color="D0D7E5"/>
            </w:tcBorders>
            <w:shd w:val="clear" w:color="auto" w:fill="FFFFFF"/>
            <w:vAlign w:val="center"/>
            <w:hideMark/>
          </w:tcPr>
          <w:p w14:paraId="6B0C4863" w14:textId="77777777" w:rsidR="009D4255" w:rsidRPr="006D4D84" w:rsidRDefault="009D4255" w:rsidP="009D4255">
            <w:pPr>
              <w:spacing w:after="0" w:line="240" w:lineRule="auto"/>
              <w:rPr>
                <w:rFonts w:ascii="Times New Roman" w:eastAsia="Times New Roman" w:hAnsi="Times New Roman" w:cs="Times New Roman"/>
                <w:sz w:val="24"/>
                <w:szCs w:val="24"/>
              </w:rPr>
            </w:pPr>
            <w:r w:rsidRPr="006D4D84">
              <w:rPr>
                <w:rFonts w:ascii="Calibri" w:eastAsia="Times New Roman" w:hAnsi="Calibri" w:cs="Calibri"/>
                <w:color w:val="000000"/>
              </w:rPr>
              <w:t>Nitrogenous Fertilizer Manufacturing</w:t>
            </w:r>
          </w:p>
        </w:tc>
        <w:tc>
          <w:tcPr>
            <w:tcW w:w="2932" w:type="dxa"/>
            <w:vMerge/>
            <w:tcBorders>
              <w:left w:val="outset" w:sz="6" w:space="0" w:color="D0D7E5"/>
              <w:bottom w:val="outset" w:sz="6" w:space="0" w:color="D0D7E5"/>
              <w:right w:val="outset" w:sz="6" w:space="0" w:color="D0D7E5"/>
            </w:tcBorders>
            <w:shd w:val="clear" w:color="auto" w:fill="FFFFFF"/>
            <w:vAlign w:val="center"/>
          </w:tcPr>
          <w:p w14:paraId="64217E85" w14:textId="766CB7AE" w:rsidR="009D4255" w:rsidRPr="006D4D84" w:rsidRDefault="009D4255" w:rsidP="009D4255">
            <w:pPr>
              <w:spacing w:after="0" w:line="240" w:lineRule="auto"/>
              <w:rPr>
                <w:rFonts w:ascii="Calibri" w:eastAsia="Times New Roman" w:hAnsi="Calibri" w:cs="Calibri"/>
                <w:color w:val="000000"/>
              </w:rPr>
            </w:pPr>
          </w:p>
        </w:tc>
      </w:tr>
    </w:tbl>
    <w:p w14:paraId="2FE76DFC" w14:textId="70258FB5" w:rsidR="00962A53" w:rsidRDefault="00962A53" w:rsidP="00962A53"/>
    <w:p w14:paraId="5A09D42E" w14:textId="04F48DC7" w:rsidR="008B1445" w:rsidRDefault="00962A53" w:rsidP="00962A53">
      <w:pPr>
        <w:pStyle w:val="Heading2"/>
      </w:pPr>
      <w:r w:rsidRPr="00962A53">
        <w:t>Additional</w:t>
      </w:r>
      <w:r>
        <w:t xml:space="preserve"> analysis that shows impact of </w:t>
      </w:r>
      <w:r w:rsidR="008B1445">
        <w:t xml:space="preserve">using per-capita NOx, PM2.5, SO2, </w:t>
      </w:r>
      <w:r>
        <w:t>without</w:t>
      </w:r>
      <w:r w:rsidR="008B1445">
        <w:t xml:space="preserve"> HAP indicators</w:t>
      </w:r>
    </w:p>
    <w:p w14:paraId="461DC10D" w14:textId="383EFC61" w:rsidR="008B1445" w:rsidRDefault="000422F8" w:rsidP="008B1445">
      <w:r>
        <w:t xml:space="preserve">This additional information provides an intermediate look between the analyses presented in Sections </w:t>
      </w:r>
      <w:r>
        <w:fldChar w:fldCharType="begin"/>
      </w:r>
      <w:r>
        <w:instrText xml:space="preserve"> REF _Ref64901861 \r \h </w:instrText>
      </w:r>
      <w:r>
        <w:fldChar w:fldCharType="separate"/>
      </w:r>
      <w:r>
        <w:t>3.1</w:t>
      </w:r>
      <w:r>
        <w:fldChar w:fldCharType="end"/>
      </w:r>
      <w:r>
        <w:t xml:space="preserve"> and </w:t>
      </w:r>
      <w:r>
        <w:fldChar w:fldCharType="begin"/>
      </w:r>
      <w:r>
        <w:instrText xml:space="preserve"> REF _Ref64901873 \r \h </w:instrText>
      </w:r>
      <w:r>
        <w:fldChar w:fldCharType="separate"/>
      </w:r>
      <w:r>
        <w:t>3.2</w:t>
      </w:r>
      <w:r>
        <w:fldChar w:fldCharType="end"/>
      </w:r>
      <w:r>
        <w:t xml:space="preserve">.  This analysis shows </w:t>
      </w:r>
      <w:r w:rsidR="008B1445">
        <w:t>the impacts of including per capita indicators for NOx, PM2.5 and SO2 (</w:t>
      </w:r>
      <w:r w:rsidR="008B1445" w:rsidRPr="000422F8">
        <w:rPr>
          <w:i/>
          <w:iCs/>
        </w:rPr>
        <w:t>without</w:t>
      </w:r>
      <w:r w:rsidR="008B1445">
        <w:t xml:space="preserve"> the two HAP per-capita indicators) to the GHG indicators.  In all three scenarios, the GHGs are weighted equally across the three GHG pollutants.  All per-capita indicators are created by selecting all emissions in a county associated with a particular emissions inventory sector.</w:t>
      </w:r>
    </w:p>
    <w:p w14:paraId="7E83EF7A" w14:textId="77777777" w:rsidR="008B1445" w:rsidRPr="000E162E" w:rsidRDefault="008B1445" w:rsidP="008B1445">
      <w:r w:rsidRPr="000E162E">
        <w:t>For this</w:t>
      </w:r>
      <w:r>
        <w:t xml:space="preserve"> example, we used indicator weightings of 0.75 for NOx/person, 1.5 for PM2.5/person, and 0.75 for SO2/person.  The total CAP weight of 3 is equivalent to the GHG weight of 3.</w:t>
      </w:r>
    </w:p>
    <w:p w14:paraId="268720C5" w14:textId="77777777" w:rsidR="008B1445" w:rsidRDefault="008B1445" w:rsidP="008B1445">
      <w:r>
        <w:rPr>
          <w:b/>
          <w:bCs/>
        </w:rPr>
        <w:t xml:space="preserve">Findings:  </w:t>
      </w:r>
      <w:r>
        <w:t>The inclusion of the CAP indicators significantly impacts the list of top 15 sectors.  Unexpectedly, Taconite Mining becomes the second highest ranking category because of its high emissions associated with a small population.  While not shown here, the relative weightings of NOx, PM2.5, and SO2 also have an impact on the sectors included in the top 15.</w:t>
      </w:r>
    </w:p>
    <w:p w14:paraId="2378EB4E" w14:textId="529236D2" w:rsidR="008B1445" w:rsidRDefault="008B1445" w:rsidP="008B1445">
      <w:pPr>
        <w:pStyle w:val="Caption"/>
        <w:keepNext/>
      </w:pPr>
      <w:r>
        <w:lastRenderedPageBreak/>
        <w:t xml:space="preserve">Table </w:t>
      </w:r>
      <w:fldSimple w:instr=" SEQ Table \* ARABIC ">
        <w:r w:rsidR="00513A3A">
          <w:rPr>
            <w:noProof/>
          </w:rPr>
          <w:t>7</w:t>
        </w:r>
      </w:fldSimple>
      <w:r>
        <w:t>: Top 15 sectors identified and listed by rank under a GHG/CAP scenario, as compared to a GHG-only scenario.  Scores shown are for scenario that includes both GHGs and 3 CAPs.</w:t>
      </w:r>
    </w:p>
    <w:tbl>
      <w:tblPr>
        <w:tblW w:w="9525" w:type="dxa"/>
        <w:tblLayout w:type="fixed"/>
        <w:tblCellMar>
          <w:left w:w="0" w:type="dxa"/>
          <w:right w:w="0" w:type="dxa"/>
        </w:tblCellMar>
        <w:tblLook w:val="04A0" w:firstRow="1" w:lastRow="0" w:firstColumn="1" w:lastColumn="0" w:noHBand="0" w:noVBand="1"/>
      </w:tblPr>
      <w:tblGrid>
        <w:gridCol w:w="3855"/>
        <w:gridCol w:w="630"/>
        <w:gridCol w:w="749"/>
        <w:gridCol w:w="4291"/>
      </w:tblGrid>
      <w:tr w:rsidR="008B1445" w14:paraId="4B6EA5F3" w14:textId="77777777" w:rsidTr="008D3AA7">
        <w:trPr>
          <w:tblHeader/>
        </w:trPr>
        <w:tc>
          <w:tcPr>
            <w:tcW w:w="385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70E7CD4D" w14:textId="77777777" w:rsidR="008B1445" w:rsidRDefault="008B1445" w:rsidP="008B1445">
            <w:pPr>
              <w:keepNext/>
              <w:spacing w:before="100" w:beforeAutospacing="1" w:after="100" w:afterAutospacing="1"/>
              <w:rPr>
                <w:b/>
                <w:bCs/>
                <w:color w:val="000000"/>
                <w:sz w:val="20"/>
                <w:szCs w:val="20"/>
              </w:rPr>
            </w:pPr>
            <w:r>
              <w:rPr>
                <w:b/>
                <w:bCs/>
                <w:color w:val="000000"/>
                <w:sz w:val="20"/>
                <w:szCs w:val="20"/>
              </w:rPr>
              <w:t>Sector</w:t>
            </w:r>
          </w:p>
        </w:tc>
        <w:tc>
          <w:tcPr>
            <w:tcW w:w="630" w:type="dxa"/>
            <w:tcBorders>
              <w:top w:val="single" w:sz="12" w:space="0" w:color="auto"/>
              <w:left w:val="nil"/>
              <w:bottom w:val="single" w:sz="8" w:space="0" w:color="auto"/>
              <w:right w:val="single" w:sz="8" w:space="0" w:color="auto"/>
            </w:tcBorders>
          </w:tcPr>
          <w:p w14:paraId="07BBE522" w14:textId="77777777" w:rsidR="008B1445" w:rsidRDefault="008B1445" w:rsidP="008B1445">
            <w:pPr>
              <w:keepNext/>
              <w:spacing w:before="100" w:beforeAutospacing="1" w:after="100" w:afterAutospacing="1"/>
              <w:jc w:val="center"/>
              <w:rPr>
                <w:b/>
                <w:bCs/>
                <w:color w:val="000000"/>
                <w:sz w:val="20"/>
                <w:szCs w:val="20"/>
              </w:rPr>
            </w:pPr>
            <w:r>
              <w:rPr>
                <w:b/>
                <w:bCs/>
                <w:color w:val="000000"/>
                <w:sz w:val="20"/>
                <w:szCs w:val="20"/>
              </w:rPr>
              <w:t>Score</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51FB07" w14:textId="77777777" w:rsidR="008B1445" w:rsidRDefault="008B1445" w:rsidP="008B1445">
            <w:pPr>
              <w:keepNext/>
              <w:spacing w:before="100" w:beforeAutospacing="1" w:after="100" w:afterAutospacing="1"/>
              <w:rPr>
                <w:b/>
                <w:bCs/>
                <w:color w:val="000000"/>
                <w:sz w:val="20"/>
                <w:szCs w:val="20"/>
              </w:rPr>
            </w:pPr>
            <w:r>
              <w:rPr>
                <w:b/>
                <w:bCs/>
                <w:color w:val="000000"/>
                <w:sz w:val="20"/>
                <w:szCs w:val="20"/>
              </w:rPr>
              <w:t>Point?</w:t>
            </w:r>
          </w:p>
        </w:tc>
        <w:tc>
          <w:tcPr>
            <w:tcW w:w="4291"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3A1825CB" w14:textId="77777777" w:rsidR="008B1445" w:rsidRDefault="008B1445" w:rsidP="008B1445">
            <w:pPr>
              <w:keepNext/>
              <w:spacing w:before="100" w:beforeAutospacing="1" w:after="100" w:afterAutospacing="1"/>
              <w:rPr>
                <w:b/>
                <w:bCs/>
                <w:color w:val="000000"/>
                <w:sz w:val="20"/>
                <w:szCs w:val="20"/>
              </w:rPr>
            </w:pPr>
            <w:r>
              <w:rPr>
                <w:b/>
                <w:bCs/>
                <w:color w:val="000000"/>
                <w:sz w:val="20"/>
                <w:szCs w:val="20"/>
              </w:rPr>
              <w:t>Status in Top 15</w:t>
            </w:r>
          </w:p>
        </w:tc>
      </w:tr>
      <w:tr w:rsidR="008B1445" w14:paraId="567D8AAE"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6EE146DF" w14:textId="77777777" w:rsidR="008B1445" w:rsidRDefault="008B1445" w:rsidP="008B1445">
            <w:pPr>
              <w:keepNext/>
              <w:spacing w:before="100" w:beforeAutospacing="1" w:after="100" w:afterAutospacing="1" w:line="240" w:lineRule="auto"/>
              <w:rPr>
                <w:sz w:val="20"/>
                <w:szCs w:val="20"/>
              </w:rPr>
            </w:pPr>
            <w:r>
              <w:rPr>
                <w:sz w:val="20"/>
                <w:szCs w:val="20"/>
              </w:rPr>
              <w:t>EGUs</w:t>
            </w:r>
          </w:p>
        </w:tc>
        <w:tc>
          <w:tcPr>
            <w:tcW w:w="630" w:type="dxa"/>
            <w:tcBorders>
              <w:top w:val="nil"/>
              <w:left w:val="nil"/>
              <w:bottom w:val="single" w:sz="8" w:space="0" w:color="auto"/>
              <w:right w:val="single" w:sz="8" w:space="0" w:color="auto"/>
            </w:tcBorders>
          </w:tcPr>
          <w:p w14:paraId="5368D2EB"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46</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7706F96"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val="restart"/>
            <w:tcBorders>
              <w:top w:val="nil"/>
              <w:left w:val="nil"/>
              <w:right w:val="single" w:sz="12" w:space="0" w:color="auto"/>
            </w:tcBorders>
            <w:tcMar>
              <w:top w:w="0" w:type="dxa"/>
              <w:left w:w="108" w:type="dxa"/>
              <w:bottom w:w="0" w:type="dxa"/>
              <w:right w:w="108" w:type="dxa"/>
            </w:tcMar>
            <w:vAlign w:val="center"/>
            <w:hideMark/>
          </w:tcPr>
          <w:p w14:paraId="2F75D51D" w14:textId="2B7D7947" w:rsidR="008B1445" w:rsidRDefault="008B1445" w:rsidP="008B1445">
            <w:pPr>
              <w:keepNext/>
              <w:spacing w:before="100" w:beforeAutospacing="1" w:after="100" w:afterAutospacing="1" w:line="240" w:lineRule="auto"/>
              <w:rPr>
                <w:color w:val="000000"/>
                <w:sz w:val="20"/>
                <w:szCs w:val="20"/>
              </w:rPr>
            </w:pPr>
            <w:r>
              <w:rPr>
                <w:color w:val="000000"/>
                <w:sz w:val="20"/>
                <w:szCs w:val="20"/>
              </w:rPr>
              <w:t xml:space="preserve">Always on list for </w:t>
            </w:r>
            <w:r w:rsidR="000422F8">
              <w:rPr>
                <w:color w:val="000000"/>
                <w:sz w:val="20"/>
                <w:szCs w:val="20"/>
              </w:rPr>
              <w:t>both GHG and GHG+ CAPs</w:t>
            </w:r>
          </w:p>
        </w:tc>
      </w:tr>
      <w:tr w:rsidR="008B1445" w14:paraId="64C193BB"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hideMark/>
          </w:tcPr>
          <w:p w14:paraId="293E2A8D" w14:textId="77777777" w:rsidR="008B1445" w:rsidRDefault="008B1445" w:rsidP="008B1445">
            <w:pPr>
              <w:keepNext/>
              <w:spacing w:before="100" w:beforeAutospacing="1" w:after="100" w:afterAutospacing="1" w:line="240" w:lineRule="auto"/>
              <w:rPr>
                <w:sz w:val="20"/>
                <w:szCs w:val="20"/>
              </w:rPr>
            </w:pPr>
            <w:r w:rsidRPr="00615927">
              <w:rPr>
                <w:color w:val="000000"/>
                <w:sz w:val="20"/>
                <w:szCs w:val="20"/>
              </w:rPr>
              <w:t>Agriculture - Crops &amp; Livestock Dust</w:t>
            </w:r>
          </w:p>
        </w:tc>
        <w:tc>
          <w:tcPr>
            <w:tcW w:w="630" w:type="dxa"/>
            <w:tcBorders>
              <w:top w:val="nil"/>
              <w:left w:val="nil"/>
              <w:bottom w:val="single" w:sz="8" w:space="0" w:color="auto"/>
              <w:right w:val="single" w:sz="8" w:space="0" w:color="auto"/>
            </w:tcBorders>
          </w:tcPr>
          <w:p w14:paraId="50F327EE"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23</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B4FC4F5" w14:textId="77777777" w:rsidR="008B1445" w:rsidRDefault="008B1445" w:rsidP="008B1445">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vAlign w:val="center"/>
            <w:hideMark/>
          </w:tcPr>
          <w:p w14:paraId="5E43A945"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66C4887F"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714D5AB3" w14:textId="77777777" w:rsidR="008B1445" w:rsidRDefault="008B1445" w:rsidP="008B1445">
            <w:pPr>
              <w:keepNext/>
              <w:spacing w:before="100" w:beforeAutospacing="1" w:after="100" w:afterAutospacing="1" w:line="240" w:lineRule="auto"/>
              <w:rPr>
                <w:sz w:val="20"/>
                <w:szCs w:val="20"/>
              </w:rPr>
            </w:pPr>
            <w:r w:rsidRPr="000872A1">
              <w:rPr>
                <w:rFonts w:ascii="Calibri" w:hAnsi="Calibri" w:cs="Calibri"/>
                <w:color w:val="000000"/>
                <w:sz w:val="20"/>
                <w:szCs w:val="20"/>
              </w:rPr>
              <w:t>Refineries</w:t>
            </w:r>
          </w:p>
        </w:tc>
        <w:tc>
          <w:tcPr>
            <w:tcW w:w="630" w:type="dxa"/>
            <w:tcBorders>
              <w:top w:val="nil"/>
              <w:left w:val="nil"/>
              <w:bottom w:val="single" w:sz="8" w:space="0" w:color="auto"/>
              <w:right w:val="single" w:sz="8" w:space="0" w:color="auto"/>
            </w:tcBorders>
          </w:tcPr>
          <w:p w14:paraId="3F9D8934"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22</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9A55341"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7677A366"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60E7A10D"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1CB56780" w14:textId="77777777" w:rsidR="008B1445" w:rsidRDefault="008B1445" w:rsidP="008B1445">
            <w:pPr>
              <w:keepNext/>
              <w:spacing w:before="100" w:beforeAutospacing="1" w:after="100" w:afterAutospacing="1" w:line="240" w:lineRule="auto"/>
              <w:rPr>
                <w:color w:val="000000"/>
                <w:sz w:val="20"/>
                <w:szCs w:val="20"/>
              </w:rPr>
            </w:pPr>
            <w:r w:rsidRPr="00615927">
              <w:rPr>
                <w:sz w:val="20"/>
                <w:szCs w:val="20"/>
              </w:rPr>
              <w:t>Fuel Comb</w:t>
            </w:r>
            <w:r>
              <w:rPr>
                <w:sz w:val="20"/>
                <w:szCs w:val="20"/>
              </w:rPr>
              <w:t>ustion</w:t>
            </w:r>
            <w:r w:rsidRPr="00615927">
              <w:rPr>
                <w:sz w:val="20"/>
                <w:szCs w:val="20"/>
              </w:rPr>
              <w:t xml:space="preserve"> - Residential - Wood</w:t>
            </w:r>
          </w:p>
        </w:tc>
        <w:tc>
          <w:tcPr>
            <w:tcW w:w="630" w:type="dxa"/>
            <w:tcBorders>
              <w:top w:val="nil"/>
              <w:left w:val="nil"/>
              <w:bottom w:val="single" w:sz="8" w:space="0" w:color="auto"/>
              <w:right w:val="single" w:sz="8" w:space="0" w:color="auto"/>
            </w:tcBorders>
          </w:tcPr>
          <w:p w14:paraId="76505A89"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20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3AE2D17" w14:textId="77777777" w:rsidR="008B1445" w:rsidRDefault="008B1445" w:rsidP="008B1445">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vAlign w:val="center"/>
            <w:hideMark/>
          </w:tcPr>
          <w:p w14:paraId="4C046D73"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552B5736"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311A6C7B" w14:textId="77777777" w:rsidR="008B1445" w:rsidRDefault="008B1445" w:rsidP="008B1445">
            <w:pPr>
              <w:keepNext/>
              <w:spacing w:before="100" w:beforeAutospacing="1" w:after="100" w:afterAutospacing="1" w:line="240" w:lineRule="auto"/>
              <w:rPr>
                <w:sz w:val="20"/>
                <w:szCs w:val="20"/>
              </w:rPr>
            </w:pPr>
            <w:r w:rsidRPr="000872A1">
              <w:rPr>
                <w:rFonts w:ascii="Calibri" w:hAnsi="Calibri" w:cs="Calibri"/>
                <w:color w:val="000000"/>
                <w:sz w:val="20"/>
                <w:szCs w:val="20"/>
              </w:rPr>
              <w:t>Oil &amp; natural gas</w:t>
            </w:r>
          </w:p>
        </w:tc>
        <w:tc>
          <w:tcPr>
            <w:tcW w:w="630" w:type="dxa"/>
            <w:tcBorders>
              <w:top w:val="nil"/>
              <w:left w:val="nil"/>
              <w:bottom w:val="single" w:sz="8" w:space="0" w:color="auto"/>
              <w:right w:val="single" w:sz="8" w:space="0" w:color="auto"/>
            </w:tcBorders>
          </w:tcPr>
          <w:p w14:paraId="5DC06EB8"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19</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A645FFC"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37C329E7"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5D325F92"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7ABD99B7" w14:textId="77777777" w:rsidR="008B1445" w:rsidRDefault="008B1445" w:rsidP="008B1445">
            <w:pPr>
              <w:keepNext/>
              <w:spacing w:before="100" w:beforeAutospacing="1" w:after="100" w:afterAutospacing="1" w:line="240" w:lineRule="auto"/>
              <w:rPr>
                <w:sz w:val="20"/>
                <w:szCs w:val="20"/>
              </w:rPr>
            </w:pPr>
            <w:r w:rsidRPr="000872A1">
              <w:rPr>
                <w:rFonts w:ascii="Calibri" w:hAnsi="Calibri" w:cs="Calibri"/>
                <w:color w:val="000000"/>
                <w:sz w:val="20"/>
                <w:szCs w:val="20"/>
              </w:rPr>
              <w:t>Other Point</w:t>
            </w:r>
          </w:p>
        </w:tc>
        <w:tc>
          <w:tcPr>
            <w:tcW w:w="630" w:type="dxa"/>
            <w:tcBorders>
              <w:top w:val="nil"/>
              <w:left w:val="nil"/>
              <w:bottom w:val="single" w:sz="8" w:space="0" w:color="auto"/>
              <w:right w:val="single" w:sz="8" w:space="0" w:color="auto"/>
            </w:tcBorders>
          </w:tcPr>
          <w:p w14:paraId="56BEFF49"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17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8546C75"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59D1B5A5"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2AF35E95"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70893BB4" w14:textId="77777777" w:rsidR="008B1445" w:rsidRDefault="008B1445" w:rsidP="008B1445">
            <w:pPr>
              <w:keepNext/>
              <w:spacing w:before="100" w:beforeAutospacing="1" w:after="100" w:afterAutospacing="1" w:line="240" w:lineRule="auto"/>
              <w:rPr>
                <w:sz w:val="20"/>
                <w:szCs w:val="20"/>
              </w:rPr>
            </w:pPr>
            <w:r w:rsidRPr="00615927">
              <w:rPr>
                <w:sz w:val="20"/>
                <w:szCs w:val="20"/>
              </w:rPr>
              <w:t>Waste Disposal</w:t>
            </w:r>
          </w:p>
        </w:tc>
        <w:tc>
          <w:tcPr>
            <w:tcW w:w="630" w:type="dxa"/>
            <w:tcBorders>
              <w:top w:val="nil"/>
              <w:left w:val="nil"/>
              <w:bottom w:val="single" w:sz="8" w:space="0" w:color="auto"/>
              <w:right w:val="single" w:sz="8" w:space="0" w:color="auto"/>
            </w:tcBorders>
          </w:tcPr>
          <w:p w14:paraId="5BC45629"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15</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62A40C8" w14:textId="77777777" w:rsidR="008B1445" w:rsidRDefault="008B1445" w:rsidP="008B1445">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vAlign w:val="center"/>
            <w:hideMark/>
          </w:tcPr>
          <w:p w14:paraId="6E0402FC"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0A147E0C"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5580364C" w14:textId="77777777" w:rsidR="008B1445" w:rsidRDefault="008B1445" w:rsidP="008B1445">
            <w:pPr>
              <w:keepNext/>
              <w:spacing w:before="100" w:beforeAutospacing="1" w:after="100" w:afterAutospacing="1" w:line="240" w:lineRule="auto"/>
              <w:rPr>
                <w:sz w:val="20"/>
                <w:szCs w:val="20"/>
              </w:rPr>
            </w:pPr>
            <w:r w:rsidRPr="005E503A">
              <w:rPr>
                <w:sz w:val="20"/>
                <w:szCs w:val="20"/>
              </w:rPr>
              <w:t>Fuel Comb - Industrial Boilers, ICEs - Biomass</w:t>
            </w:r>
          </w:p>
        </w:tc>
        <w:tc>
          <w:tcPr>
            <w:tcW w:w="630" w:type="dxa"/>
            <w:tcBorders>
              <w:top w:val="nil"/>
              <w:left w:val="nil"/>
              <w:bottom w:val="single" w:sz="8" w:space="0" w:color="auto"/>
              <w:right w:val="single" w:sz="8" w:space="0" w:color="auto"/>
            </w:tcBorders>
          </w:tcPr>
          <w:p w14:paraId="32AFD5FB"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12</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EB0C5E4" w14:textId="77777777" w:rsidR="008B1445" w:rsidRDefault="008B1445" w:rsidP="008B1445">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vAlign w:val="center"/>
            <w:hideMark/>
          </w:tcPr>
          <w:p w14:paraId="7EA48F25"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7BEB1FDF"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4F3452B9" w14:textId="77777777" w:rsidR="008B1445" w:rsidRDefault="008B1445" w:rsidP="008B1445">
            <w:pPr>
              <w:keepNext/>
              <w:spacing w:before="100" w:beforeAutospacing="1" w:after="100" w:afterAutospacing="1" w:line="240" w:lineRule="auto"/>
              <w:rPr>
                <w:sz w:val="20"/>
                <w:szCs w:val="20"/>
              </w:rPr>
            </w:pPr>
            <w:r w:rsidRPr="000872A1">
              <w:rPr>
                <w:rFonts w:ascii="Calibri" w:hAnsi="Calibri" w:cs="Calibri"/>
                <w:color w:val="000000"/>
                <w:sz w:val="20"/>
                <w:szCs w:val="20"/>
              </w:rPr>
              <w:t>Petrochemical Manufacturing</w:t>
            </w:r>
          </w:p>
        </w:tc>
        <w:tc>
          <w:tcPr>
            <w:tcW w:w="630" w:type="dxa"/>
            <w:tcBorders>
              <w:top w:val="nil"/>
              <w:left w:val="nil"/>
              <w:bottom w:val="single" w:sz="8" w:space="0" w:color="auto"/>
              <w:right w:val="single" w:sz="8" w:space="0" w:color="auto"/>
            </w:tcBorders>
          </w:tcPr>
          <w:p w14:paraId="25565E2C" w14:textId="77777777" w:rsidR="008B1445" w:rsidRDefault="008B1445" w:rsidP="008B1445">
            <w:pPr>
              <w:keepNext/>
              <w:spacing w:before="100" w:beforeAutospacing="1" w:after="100" w:afterAutospacing="1" w:line="240" w:lineRule="auto"/>
              <w:jc w:val="center"/>
              <w:rPr>
                <w:sz w:val="20"/>
                <w:szCs w:val="20"/>
              </w:rPr>
            </w:pPr>
            <w:r>
              <w:rPr>
                <w:sz w:val="20"/>
                <w:szCs w:val="20"/>
              </w:rPr>
              <w:t>11</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D678517" w14:textId="77777777" w:rsidR="008B1445" w:rsidRDefault="008B1445" w:rsidP="008B1445">
            <w:pPr>
              <w:keepNext/>
              <w:spacing w:before="100" w:beforeAutospacing="1" w:after="100" w:afterAutospacing="1" w:line="240" w:lineRule="auto"/>
              <w:jc w:val="center"/>
              <w:rPr>
                <w:sz w:val="20"/>
                <w:szCs w:val="20"/>
              </w:rPr>
            </w:pPr>
            <w:r>
              <w:rPr>
                <w:sz w:val="20"/>
                <w:szCs w:val="20"/>
              </w:rPr>
              <w:t>Y</w:t>
            </w:r>
          </w:p>
        </w:tc>
        <w:tc>
          <w:tcPr>
            <w:tcW w:w="4291" w:type="dxa"/>
            <w:vMerge/>
            <w:tcBorders>
              <w:left w:val="nil"/>
              <w:right w:val="single" w:sz="12" w:space="0" w:color="auto"/>
            </w:tcBorders>
            <w:vAlign w:val="center"/>
            <w:hideMark/>
          </w:tcPr>
          <w:p w14:paraId="0769ABA9"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09138059"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hideMark/>
          </w:tcPr>
          <w:p w14:paraId="0632B809" w14:textId="77777777" w:rsidR="008B1445" w:rsidRDefault="008B1445" w:rsidP="008B1445">
            <w:pPr>
              <w:keepNext/>
              <w:spacing w:before="100" w:beforeAutospacing="1" w:after="100" w:afterAutospacing="1" w:line="240" w:lineRule="auto"/>
              <w:rPr>
                <w:sz w:val="20"/>
                <w:szCs w:val="20"/>
              </w:rPr>
            </w:pPr>
            <w:r w:rsidRPr="000872A1">
              <w:rPr>
                <w:rFonts w:ascii="Calibri" w:hAnsi="Calibri" w:cs="Calibri"/>
                <w:color w:val="000000"/>
                <w:sz w:val="20"/>
                <w:szCs w:val="20"/>
              </w:rPr>
              <w:t>Waste Combustion &amp; Treatment</w:t>
            </w:r>
          </w:p>
        </w:tc>
        <w:tc>
          <w:tcPr>
            <w:tcW w:w="630" w:type="dxa"/>
            <w:tcBorders>
              <w:top w:val="nil"/>
              <w:left w:val="nil"/>
              <w:bottom w:val="single" w:sz="8" w:space="0" w:color="auto"/>
              <w:right w:val="single" w:sz="8" w:space="0" w:color="auto"/>
            </w:tcBorders>
          </w:tcPr>
          <w:p w14:paraId="62CAD4DC"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10</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A54E07A"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45347905" w14:textId="77777777" w:rsidR="008B1445" w:rsidRDefault="008B1445" w:rsidP="008B1445">
            <w:pPr>
              <w:keepNext/>
              <w:spacing w:before="100" w:beforeAutospacing="1" w:after="100" w:afterAutospacing="1" w:line="240" w:lineRule="auto"/>
              <w:rPr>
                <w:rFonts w:ascii="Calibri" w:hAnsi="Calibri" w:cs="Calibri"/>
                <w:color w:val="000000"/>
                <w:sz w:val="20"/>
                <w:szCs w:val="20"/>
              </w:rPr>
            </w:pPr>
          </w:p>
        </w:tc>
      </w:tr>
      <w:tr w:rsidR="008B1445" w14:paraId="3B1E7B68" w14:textId="77777777" w:rsidTr="008B1445">
        <w:tc>
          <w:tcPr>
            <w:tcW w:w="3855"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vAlign w:val="bottom"/>
          </w:tcPr>
          <w:p w14:paraId="4C2F8D67" w14:textId="77777777" w:rsidR="008B1445" w:rsidRPr="00615927" w:rsidRDefault="008B1445" w:rsidP="008D3AA7">
            <w:pPr>
              <w:spacing w:before="100" w:beforeAutospacing="1" w:after="100" w:afterAutospacing="1" w:line="240" w:lineRule="auto"/>
              <w:rPr>
                <w:color w:val="000000"/>
                <w:sz w:val="20"/>
                <w:szCs w:val="20"/>
              </w:rPr>
            </w:pPr>
            <w:r>
              <w:rPr>
                <w:rFonts w:ascii="Calibri" w:hAnsi="Calibri" w:cs="Calibri"/>
                <w:color w:val="000000"/>
                <w:sz w:val="20"/>
                <w:szCs w:val="20"/>
              </w:rPr>
              <w:t>Landfill</w:t>
            </w:r>
          </w:p>
        </w:tc>
        <w:tc>
          <w:tcPr>
            <w:tcW w:w="630" w:type="dxa"/>
            <w:tcBorders>
              <w:top w:val="single" w:sz="8" w:space="0" w:color="auto"/>
              <w:left w:val="single" w:sz="8" w:space="0" w:color="auto"/>
              <w:bottom w:val="single" w:sz="12" w:space="0" w:color="auto"/>
              <w:right w:val="single" w:sz="8" w:space="0" w:color="auto"/>
            </w:tcBorders>
          </w:tcPr>
          <w:p w14:paraId="575095AA"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10</w:t>
            </w:r>
          </w:p>
        </w:tc>
        <w:tc>
          <w:tcPr>
            <w:tcW w:w="749" w:type="dxa"/>
            <w:tcBorders>
              <w:top w:val="single" w:sz="8" w:space="0" w:color="auto"/>
              <w:left w:val="single" w:sz="8" w:space="0" w:color="auto"/>
              <w:bottom w:val="single" w:sz="12" w:space="0" w:color="auto"/>
              <w:right w:val="single" w:sz="8" w:space="0" w:color="auto"/>
            </w:tcBorders>
            <w:tcMar>
              <w:top w:w="0" w:type="dxa"/>
              <w:left w:w="108" w:type="dxa"/>
              <w:bottom w:w="0" w:type="dxa"/>
              <w:right w:w="108" w:type="dxa"/>
            </w:tcMar>
            <w:vAlign w:val="bottom"/>
            <w:hideMark/>
          </w:tcPr>
          <w:p w14:paraId="498A6E27"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bottom w:val="single" w:sz="12" w:space="0" w:color="auto"/>
              <w:right w:val="single" w:sz="12" w:space="0" w:color="auto"/>
            </w:tcBorders>
            <w:tcMar>
              <w:top w:w="0" w:type="dxa"/>
              <w:left w:w="108" w:type="dxa"/>
              <w:bottom w:w="0" w:type="dxa"/>
              <w:right w:w="108" w:type="dxa"/>
            </w:tcMar>
            <w:vAlign w:val="center"/>
            <w:hideMark/>
          </w:tcPr>
          <w:p w14:paraId="5EB0AE60" w14:textId="77777777" w:rsidR="008B1445" w:rsidRDefault="008B1445" w:rsidP="008B1445">
            <w:pPr>
              <w:keepNext/>
              <w:spacing w:before="100" w:beforeAutospacing="1" w:after="100" w:afterAutospacing="1" w:line="240" w:lineRule="auto"/>
              <w:rPr>
                <w:color w:val="000000"/>
                <w:sz w:val="20"/>
                <w:szCs w:val="20"/>
              </w:rPr>
            </w:pPr>
          </w:p>
        </w:tc>
      </w:tr>
      <w:tr w:rsidR="008B1445" w14:paraId="3282DD92" w14:textId="77777777" w:rsidTr="008B1445">
        <w:tc>
          <w:tcPr>
            <w:tcW w:w="385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tcPr>
          <w:p w14:paraId="1B711927" w14:textId="77777777" w:rsidR="008B1445" w:rsidRPr="00615927" w:rsidRDefault="008B1445" w:rsidP="008B1445">
            <w:pPr>
              <w:keepNext/>
              <w:spacing w:before="100" w:beforeAutospacing="1" w:after="100" w:afterAutospacing="1" w:line="240" w:lineRule="auto"/>
              <w:rPr>
                <w:color w:val="000000"/>
                <w:sz w:val="20"/>
                <w:szCs w:val="20"/>
              </w:rPr>
            </w:pPr>
            <w:r>
              <w:rPr>
                <w:color w:val="000000"/>
                <w:sz w:val="20"/>
                <w:szCs w:val="20"/>
              </w:rPr>
              <w:t>Taconite Mining</w:t>
            </w:r>
          </w:p>
        </w:tc>
        <w:tc>
          <w:tcPr>
            <w:tcW w:w="630" w:type="dxa"/>
            <w:tcBorders>
              <w:top w:val="single" w:sz="12" w:space="0" w:color="auto"/>
              <w:left w:val="single" w:sz="8" w:space="0" w:color="auto"/>
              <w:bottom w:val="single" w:sz="8" w:space="0" w:color="auto"/>
              <w:right w:val="single" w:sz="8" w:space="0" w:color="auto"/>
            </w:tcBorders>
          </w:tcPr>
          <w:p w14:paraId="5CDEB4DF"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26</w:t>
            </w:r>
          </w:p>
        </w:tc>
        <w:tc>
          <w:tcPr>
            <w:tcW w:w="749" w:type="dxa"/>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66CDC8B1"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val="restart"/>
            <w:tcBorders>
              <w:top w:val="single" w:sz="12" w:space="0" w:color="auto"/>
              <w:left w:val="nil"/>
              <w:right w:val="single" w:sz="12" w:space="0" w:color="auto"/>
            </w:tcBorders>
            <w:tcMar>
              <w:top w:w="0" w:type="dxa"/>
              <w:left w:w="108" w:type="dxa"/>
              <w:bottom w:w="0" w:type="dxa"/>
              <w:right w:w="108" w:type="dxa"/>
            </w:tcMar>
            <w:vAlign w:val="center"/>
          </w:tcPr>
          <w:p w14:paraId="7F992DE6" w14:textId="77777777" w:rsidR="008B1445" w:rsidRDefault="008B1445" w:rsidP="008B1445">
            <w:pPr>
              <w:keepNext/>
              <w:spacing w:before="100" w:beforeAutospacing="1" w:after="100" w:afterAutospacing="1" w:line="240" w:lineRule="auto"/>
              <w:rPr>
                <w:color w:val="000000"/>
                <w:sz w:val="20"/>
                <w:szCs w:val="20"/>
              </w:rPr>
            </w:pPr>
            <w:r>
              <w:rPr>
                <w:color w:val="000000"/>
                <w:sz w:val="20"/>
                <w:szCs w:val="20"/>
              </w:rPr>
              <w:t xml:space="preserve">Added to list with CAP indicators </w:t>
            </w:r>
            <w:r>
              <w:rPr>
                <w:color w:val="000000"/>
                <w:sz w:val="20"/>
                <w:szCs w:val="20"/>
              </w:rPr>
              <w:br/>
              <w:t xml:space="preserve">(0.75 NOx/person; 1.5 PM2.5/person; and </w:t>
            </w:r>
            <w:r>
              <w:rPr>
                <w:color w:val="000000"/>
                <w:sz w:val="20"/>
                <w:szCs w:val="20"/>
              </w:rPr>
              <w:br/>
              <w:t>0.75 SO2/person)</w:t>
            </w:r>
          </w:p>
        </w:tc>
      </w:tr>
      <w:tr w:rsidR="008B1445" w14:paraId="41321059" w14:textId="77777777" w:rsidTr="008B1445">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tcPr>
          <w:p w14:paraId="617AFE2F" w14:textId="77777777" w:rsidR="008B1445" w:rsidRDefault="008B1445" w:rsidP="008B1445">
            <w:pPr>
              <w:keepNext/>
              <w:spacing w:before="100" w:beforeAutospacing="1" w:after="100" w:afterAutospacing="1" w:line="240" w:lineRule="auto"/>
              <w:rPr>
                <w:color w:val="000000"/>
                <w:sz w:val="20"/>
                <w:szCs w:val="20"/>
              </w:rPr>
            </w:pPr>
            <w:r>
              <w:rPr>
                <w:color w:val="000000"/>
                <w:sz w:val="20"/>
                <w:szCs w:val="20"/>
              </w:rPr>
              <w:t>Dust – Unpaved Road Dust</w:t>
            </w:r>
          </w:p>
        </w:tc>
        <w:tc>
          <w:tcPr>
            <w:tcW w:w="630" w:type="dxa"/>
            <w:tcBorders>
              <w:top w:val="single" w:sz="8" w:space="0" w:color="auto"/>
              <w:left w:val="single" w:sz="8" w:space="0" w:color="auto"/>
              <w:bottom w:val="single" w:sz="8" w:space="0" w:color="auto"/>
              <w:right w:val="single" w:sz="8" w:space="0" w:color="auto"/>
            </w:tcBorders>
          </w:tcPr>
          <w:p w14:paraId="46762A3D"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14</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3E3F45D8" w14:textId="77777777" w:rsidR="008B1445" w:rsidRDefault="008B1445" w:rsidP="008B1445">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tcMar>
              <w:top w:w="0" w:type="dxa"/>
              <w:left w:w="108" w:type="dxa"/>
              <w:bottom w:w="0" w:type="dxa"/>
              <w:right w:w="108" w:type="dxa"/>
            </w:tcMar>
            <w:vAlign w:val="center"/>
          </w:tcPr>
          <w:p w14:paraId="1C674796" w14:textId="77777777" w:rsidR="008B1445" w:rsidRDefault="008B1445" w:rsidP="008B1445">
            <w:pPr>
              <w:keepNext/>
              <w:spacing w:before="100" w:beforeAutospacing="1" w:after="100" w:afterAutospacing="1" w:line="240" w:lineRule="auto"/>
              <w:rPr>
                <w:color w:val="000000"/>
                <w:sz w:val="20"/>
                <w:szCs w:val="20"/>
              </w:rPr>
            </w:pPr>
          </w:p>
        </w:tc>
      </w:tr>
      <w:tr w:rsidR="008B1445" w14:paraId="58A71D68" w14:textId="77777777" w:rsidTr="008B1445">
        <w:tc>
          <w:tcPr>
            <w:tcW w:w="3855" w:type="dxa"/>
            <w:tcBorders>
              <w:top w:val="single" w:sz="8"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38A9EB6B" w14:textId="77777777" w:rsidR="008B1445" w:rsidRPr="005E503A" w:rsidRDefault="008B1445" w:rsidP="008B1445">
            <w:pPr>
              <w:keepNext/>
              <w:spacing w:before="100" w:beforeAutospacing="1" w:after="100" w:afterAutospacing="1" w:line="240" w:lineRule="auto"/>
              <w:rPr>
                <w:color w:val="000000"/>
                <w:sz w:val="20"/>
                <w:szCs w:val="20"/>
              </w:rPr>
            </w:pPr>
            <w:r>
              <w:rPr>
                <w:color w:val="000000"/>
                <w:sz w:val="20"/>
                <w:szCs w:val="20"/>
              </w:rPr>
              <w:t>Dust – Paved Road Dust</w:t>
            </w:r>
          </w:p>
        </w:tc>
        <w:tc>
          <w:tcPr>
            <w:tcW w:w="630" w:type="dxa"/>
            <w:tcBorders>
              <w:top w:val="single" w:sz="8" w:space="0" w:color="auto"/>
              <w:left w:val="single" w:sz="8" w:space="0" w:color="auto"/>
              <w:bottom w:val="single" w:sz="8" w:space="0" w:color="auto"/>
              <w:right w:val="single" w:sz="8" w:space="0" w:color="auto"/>
            </w:tcBorders>
          </w:tcPr>
          <w:p w14:paraId="69B92D7A"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10</w:t>
            </w:r>
          </w:p>
        </w:tc>
        <w:tc>
          <w:tcPr>
            <w:tcW w:w="7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001297B6" w14:textId="77777777" w:rsidR="008B1445" w:rsidRDefault="008B1445" w:rsidP="008B1445">
            <w:pPr>
              <w:keepNext/>
              <w:spacing w:before="100" w:beforeAutospacing="1" w:after="100" w:afterAutospacing="1" w:line="240" w:lineRule="auto"/>
              <w:jc w:val="center"/>
              <w:rPr>
                <w:color w:val="000000"/>
                <w:sz w:val="20"/>
                <w:szCs w:val="20"/>
              </w:rPr>
            </w:pPr>
          </w:p>
        </w:tc>
        <w:tc>
          <w:tcPr>
            <w:tcW w:w="4291" w:type="dxa"/>
            <w:vMerge/>
            <w:tcBorders>
              <w:left w:val="nil"/>
              <w:right w:val="single" w:sz="12" w:space="0" w:color="auto"/>
            </w:tcBorders>
            <w:tcMar>
              <w:top w:w="0" w:type="dxa"/>
              <w:left w:w="108" w:type="dxa"/>
              <w:bottom w:w="0" w:type="dxa"/>
              <w:right w:w="108" w:type="dxa"/>
            </w:tcMar>
            <w:vAlign w:val="center"/>
          </w:tcPr>
          <w:p w14:paraId="6452D44B" w14:textId="77777777" w:rsidR="008B1445" w:rsidRDefault="008B1445" w:rsidP="008B1445">
            <w:pPr>
              <w:keepNext/>
              <w:spacing w:before="100" w:beforeAutospacing="1" w:after="100" w:afterAutospacing="1" w:line="240" w:lineRule="auto"/>
              <w:rPr>
                <w:color w:val="000000"/>
                <w:sz w:val="20"/>
                <w:szCs w:val="20"/>
              </w:rPr>
            </w:pPr>
          </w:p>
        </w:tc>
      </w:tr>
      <w:tr w:rsidR="008B1445" w14:paraId="21A367A2" w14:textId="77777777" w:rsidTr="008B1445">
        <w:tc>
          <w:tcPr>
            <w:tcW w:w="3855"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tcPr>
          <w:p w14:paraId="1E20164B" w14:textId="77777777" w:rsidR="008B1445" w:rsidRPr="005E503A" w:rsidRDefault="008B1445" w:rsidP="008D3AA7">
            <w:pPr>
              <w:spacing w:before="100" w:beforeAutospacing="1" w:after="100" w:afterAutospacing="1" w:line="240" w:lineRule="auto"/>
              <w:rPr>
                <w:color w:val="000000"/>
                <w:sz w:val="20"/>
                <w:szCs w:val="20"/>
              </w:rPr>
            </w:pPr>
            <w:r>
              <w:rPr>
                <w:color w:val="000000"/>
                <w:sz w:val="20"/>
                <w:szCs w:val="20"/>
              </w:rPr>
              <w:t>Lime Manufacturing</w:t>
            </w:r>
          </w:p>
        </w:tc>
        <w:tc>
          <w:tcPr>
            <w:tcW w:w="630" w:type="dxa"/>
            <w:tcBorders>
              <w:top w:val="single" w:sz="8" w:space="0" w:color="auto"/>
              <w:left w:val="single" w:sz="8" w:space="0" w:color="auto"/>
              <w:bottom w:val="single" w:sz="12" w:space="0" w:color="auto"/>
              <w:right w:val="single" w:sz="8" w:space="0" w:color="auto"/>
            </w:tcBorders>
          </w:tcPr>
          <w:p w14:paraId="50040A38"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9</w:t>
            </w:r>
          </w:p>
        </w:tc>
        <w:tc>
          <w:tcPr>
            <w:tcW w:w="749" w:type="dxa"/>
            <w:tcBorders>
              <w:top w:val="single" w:sz="8" w:space="0" w:color="auto"/>
              <w:left w:val="single" w:sz="8" w:space="0" w:color="auto"/>
              <w:bottom w:val="single" w:sz="12" w:space="0" w:color="auto"/>
              <w:right w:val="single" w:sz="8" w:space="0" w:color="auto"/>
            </w:tcBorders>
            <w:tcMar>
              <w:top w:w="0" w:type="dxa"/>
              <w:left w:w="108" w:type="dxa"/>
              <w:bottom w:w="0" w:type="dxa"/>
              <w:right w:w="108" w:type="dxa"/>
            </w:tcMar>
            <w:vAlign w:val="bottom"/>
          </w:tcPr>
          <w:p w14:paraId="4608F16B" w14:textId="77777777" w:rsidR="008B1445" w:rsidRDefault="008B1445" w:rsidP="008B1445">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bottom w:val="single" w:sz="12" w:space="0" w:color="auto"/>
              <w:right w:val="single" w:sz="12" w:space="0" w:color="auto"/>
            </w:tcBorders>
            <w:tcMar>
              <w:top w:w="0" w:type="dxa"/>
              <w:left w:w="108" w:type="dxa"/>
              <w:bottom w:w="0" w:type="dxa"/>
              <w:right w:w="108" w:type="dxa"/>
            </w:tcMar>
            <w:vAlign w:val="center"/>
          </w:tcPr>
          <w:p w14:paraId="60225F00" w14:textId="77777777" w:rsidR="008B1445" w:rsidRDefault="008B1445" w:rsidP="008B1445">
            <w:pPr>
              <w:keepNext/>
              <w:spacing w:before="100" w:beforeAutospacing="1" w:after="100" w:afterAutospacing="1" w:line="240" w:lineRule="auto"/>
              <w:rPr>
                <w:color w:val="000000"/>
                <w:sz w:val="20"/>
                <w:szCs w:val="20"/>
              </w:rPr>
            </w:pPr>
          </w:p>
        </w:tc>
      </w:tr>
      <w:tr w:rsidR="008B1445" w14:paraId="646E6E93"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14CB6328" w14:textId="19D001E0" w:rsidR="008B1445" w:rsidRDefault="008D3AA7" w:rsidP="008D3AA7">
            <w:pPr>
              <w:keepNext/>
              <w:spacing w:before="100" w:beforeAutospacing="1" w:after="100" w:afterAutospacing="1" w:line="240" w:lineRule="auto"/>
              <w:rPr>
                <w:sz w:val="20"/>
                <w:szCs w:val="20"/>
              </w:rPr>
            </w:pPr>
            <w:r w:rsidRPr="000872A1">
              <w:rPr>
                <w:rFonts w:ascii="Calibri" w:hAnsi="Calibri" w:cs="Calibri"/>
                <w:color w:val="000000"/>
                <w:sz w:val="20"/>
                <w:szCs w:val="20"/>
              </w:rPr>
              <w:t xml:space="preserve">Other </w:t>
            </w:r>
            <w:r>
              <w:rPr>
                <w:rFonts w:ascii="Calibri" w:hAnsi="Calibri" w:cs="Calibri"/>
                <w:color w:val="000000"/>
                <w:sz w:val="20"/>
                <w:szCs w:val="20"/>
              </w:rPr>
              <w:t>M</w:t>
            </w:r>
            <w:r w:rsidRPr="000872A1">
              <w:rPr>
                <w:rFonts w:ascii="Calibri" w:hAnsi="Calibri" w:cs="Calibri"/>
                <w:color w:val="000000"/>
                <w:sz w:val="20"/>
                <w:szCs w:val="20"/>
              </w:rPr>
              <w:t>etal</w:t>
            </w:r>
            <w:r>
              <w:rPr>
                <w:rFonts w:ascii="Calibri" w:hAnsi="Calibri" w:cs="Calibri"/>
                <w:color w:val="000000"/>
                <w:sz w:val="20"/>
                <w:szCs w:val="20"/>
              </w:rPr>
              <w:t xml:space="preserve"> Manufacturing</w:t>
            </w:r>
          </w:p>
        </w:tc>
        <w:tc>
          <w:tcPr>
            <w:tcW w:w="630" w:type="dxa"/>
            <w:tcBorders>
              <w:top w:val="nil"/>
              <w:left w:val="nil"/>
              <w:bottom w:val="single" w:sz="8" w:space="0" w:color="auto"/>
              <w:right w:val="single" w:sz="8" w:space="0" w:color="auto"/>
            </w:tcBorders>
          </w:tcPr>
          <w:p w14:paraId="59A7BCF0" w14:textId="77777777" w:rsidR="008B1445" w:rsidRDefault="008B1445" w:rsidP="008D3AA7">
            <w:pPr>
              <w:keepNext/>
              <w:spacing w:before="100" w:beforeAutospacing="1" w:after="100" w:afterAutospacing="1" w:line="240" w:lineRule="auto"/>
              <w:jc w:val="center"/>
              <w:rPr>
                <w:color w:val="000000"/>
                <w:sz w:val="20"/>
                <w:szCs w:val="20"/>
              </w:rPr>
            </w:pPr>
            <w:r>
              <w:rPr>
                <w:color w:val="000000"/>
                <w:sz w:val="20"/>
                <w:szCs w:val="20"/>
              </w:rPr>
              <w:t>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3082100" w14:textId="77777777" w:rsidR="008B1445" w:rsidRDefault="008B1445" w:rsidP="008D3AA7">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val="restart"/>
            <w:tcBorders>
              <w:top w:val="nil"/>
              <w:left w:val="nil"/>
              <w:right w:val="single" w:sz="12" w:space="0" w:color="auto"/>
            </w:tcBorders>
            <w:tcMar>
              <w:top w:w="0" w:type="dxa"/>
              <w:left w:w="108" w:type="dxa"/>
              <w:bottom w:w="0" w:type="dxa"/>
              <w:right w:w="108" w:type="dxa"/>
            </w:tcMar>
            <w:vAlign w:val="center"/>
            <w:hideMark/>
          </w:tcPr>
          <w:p w14:paraId="39E6C05C" w14:textId="77777777" w:rsidR="008B1445" w:rsidRDefault="008B1445" w:rsidP="008B1445">
            <w:pPr>
              <w:spacing w:before="100" w:beforeAutospacing="1" w:after="100" w:afterAutospacing="1" w:line="240" w:lineRule="auto"/>
              <w:rPr>
                <w:color w:val="000000"/>
                <w:sz w:val="20"/>
                <w:szCs w:val="20"/>
              </w:rPr>
            </w:pPr>
            <w:r>
              <w:rPr>
                <w:color w:val="000000"/>
                <w:sz w:val="20"/>
                <w:szCs w:val="20"/>
              </w:rPr>
              <w:t>Dropped off list with CAP indicators added</w:t>
            </w:r>
          </w:p>
        </w:tc>
      </w:tr>
      <w:tr w:rsidR="008B1445" w14:paraId="174E850F"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7B94DF7B" w14:textId="77777777" w:rsidR="008B1445" w:rsidRDefault="008B1445" w:rsidP="008D3AA7">
            <w:pPr>
              <w:keepNext/>
              <w:spacing w:before="100" w:beforeAutospacing="1" w:after="100" w:afterAutospacing="1" w:line="240" w:lineRule="auto"/>
              <w:rPr>
                <w:sz w:val="20"/>
                <w:szCs w:val="20"/>
              </w:rPr>
            </w:pPr>
            <w:r>
              <w:rPr>
                <w:sz w:val="20"/>
                <w:szCs w:val="20"/>
              </w:rPr>
              <w:t>Mining (except taconite and O&amp;G)</w:t>
            </w:r>
          </w:p>
        </w:tc>
        <w:tc>
          <w:tcPr>
            <w:tcW w:w="630" w:type="dxa"/>
            <w:tcBorders>
              <w:top w:val="nil"/>
              <w:left w:val="nil"/>
              <w:bottom w:val="single" w:sz="8" w:space="0" w:color="auto"/>
              <w:right w:val="single" w:sz="8" w:space="0" w:color="auto"/>
            </w:tcBorders>
          </w:tcPr>
          <w:p w14:paraId="194E68F9" w14:textId="77777777" w:rsidR="008B1445" w:rsidRDefault="008B1445" w:rsidP="008D3AA7">
            <w:pPr>
              <w:keepNext/>
              <w:spacing w:before="100" w:beforeAutospacing="1" w:after="100" w:afterAutospacing="1" w:line="240" w:lineRule="auto"/>
              <w:jc w:val="center"/>
              <w:rPr>
                <w:color w:val="000000"/>
                <w:sz w:val="20"/>
                <w:szCs w:val="20"/>
              </w:rPr>
            </w:pPr>
            <w:r>
              <w:rPr>
                <w:color w:val="000000"/>
                <w:sz w:val="20"/>
                <w:szCs w:val="20"/>
              </w:rPr>
              <w:t>7</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701DD286" w14:textId="77777777" w:rsidR="008B1445" w:rsidRDefault="008B1445" w:rsidP="008D3AA7">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hideMark/>
          </w:tcPr>
          <w:p w14:paraId="4322561E" w14:textId="77777777" w:rsidR="008B1445" w:rsidRDefault="008B1445" w:rsidP="008B1445">
            <w:pPr>
              <w:spacing w:before="100" w:beforeAutospacing="1" w:after="100" w:afterAutospacing="1" w:line="240" w:lineRule="auto"/>
              <w:rPr>
                <w:rFonts w:ascii="Calibri" w:hAnsi="Calibri" w:cs="Calibri"/>
                <w:color w:val="000000"/>
                <w:sz w:val="20"/>
                <w:szCs w:val="20"/>
              </w:rPr>
            </w:pPr>
          </w:p>
        </w:tc>
      </w:tr>
      <w:tr w:rsidR="008B1445" w14:paraId="5B00A00E" w14:textId="77777777" w:rsidTr="008B1445">
        <w:tc>
          <w:tcPr>
            <w:tcW w:w="3855"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bottom"/>
          </w:tcPr>
          <w:p w14:paraId="3A5340DB" w14:textId="77777777" w:rsidR="008B1445" w:rsidRDefault="008B1445" w:rsidP="008D3AA7">
            <w:pPr>
              <w:keepNext/>
              <w:spacing w:before="100" w:beforeAutospacing="1" w:after="100" w:afterAutospacing="1" w:line="240" w:lineRule="auto"/>
              <w:rPr>
                <w:sz w:val="20"/>
                <w:szCs w:val="20"/>
              </w:rPr>
            </w:pPr>
            <w:r w:rsidRPr="000872A1">
              <w:rPr>
                <w:rFonts w:ascii="Calibri" w:hAnsi="Calibri" w:cs="Calibri"/>
                <w:color w:val="000000"/>
                <w:sz w:val="20"/>
                <w:szCs w:val="20"/>
              </w:rPr>
              <w:t>Synthetic Organic Chemical Industry</w:t>
            </w:r>
          </w:p>
        </w:tc>
        <w:tc>
          <w:tcPr>
            <w:tcW w:w="630" w:type="dxa"/>
            <w:tcBorders>
              <w:top w:val="nil"/>
              <w:left w:val="nil"/>
              <w:bottom w:val="single" w:sz="8" w:space="0" w:color="auto"/>
              <w:right w:val="single" w:sz="8" w:space="0" w:color="auto"/>
            </w:tcBorders>
          </w:tcPr>
          <w:p w14:paraId="26EBD213" w14:textId="77777777" w:rsidR="008B1445" w:rsidRDefault="008B1445" w:rsidP="008D3AA7">
            <w:pPr>
              <w:keepNext/>
              <w:spacing w:before="100" w:beforeAutospacing="1" w:after="100" w:afterAutospacing="1" w:line="240" w:lineRule="auto"/>
              <w:jc w:val="center"/>
              <w:rPr>
                <w:color w:val="000000"/>
                <w:sz w:val="20"/>
                <w:szCs w:val="20"/>
              </w:rPr>
            </w:pPr>
            <w:r>
              <w:rPr>
                <w:color w:val="000000"/>
                <w:sz w:val="20"/>
                <w:szCs w:val="20"/>
              </w:rPr>
              <w:t>5</w:t>
            </w:r>
          </w:p>
        </w:tc>
        <w:tc>
          <w:tcPr>
            <w:tcW w:w="7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FE6E570" w14:textId="77777777" w:rsidR="008B1445" w:rsidRDefault="008B1445" w:rsidP="008D3AA7">
            <w:pPr>
              <w:keepNext/>
              <w:spacing w:before="100" w:beforeAutospacing="1" w:after="100" w:afterAutospacing="1" w:line="240" w:lineRule="auto"/>
              <w:jc w:val="center"/>
              <w:rPr>
                <w:color w:val="000000"/>
                <w:sz w:val="20"/>
                <w:szCs w:val="20"/>
              </w:rPr>
            </w:pPr>
            <w:r>
              <w:rPr>
                <w:color w:val="000000"/>
                <w:sz w:val="20"/>
                <w:szCs w:val="20"/>
              </w:rPr>
              <w:t>Y</w:t>
            </w:r>
          </w:p>
        </w:tc>
        <w:tc>
          <w:tcPr>
            <w:tcW w:w="4291" w:type="dxa"/>
            <w:vMerge/>
            <w:tcBorders>
              <w:left w:val="nil"/>
              <w:right w:val="single" w:sz="12" w:space="0" w:color="auto"/>
            </w:tcBorders>
            <w:vAlign w:val="center"/>
          </w:tcPr>
          <w:p w14:paraId="17FCDEEB" w14:textId="77777777" w:rsidR="008B1445" w:rsidRDefault="008B1445" w:rsidP="008B1445">
            <w:pPr>
              <w:spacing w:before="100" w:beforeAutospacing="1" w:after="100" w:afterAutospacing="1" w:line="240" w:lineRule="auto"/>
              <w:rPr>
                <w:rFonts w:ascii="Calibri" w:hAnsi="Calibri" w:cs="Calibri"/>
                <w:color w:val="000000"/>
                <w:sz w:val="20"/>
                <w:szCs w:val="20"/>
              </w:rPr>
            </w:pPr>
          </w:p>
        </w:tc>
      </w:tr>
      <w:tr w:rsidR="008B1445" w14:paraId="7CD957C6" w14:textId="77777777" w:rsidTr="008B1445">
        <w:tc>
          <w:tcPr>
            <w:tcW w:w="3855"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bottom"/>
          </w:tcPr>
          <w:p w14:paraId="42092C40" w14:textId="77777777" w:rsidR="008B1445" w:rsidRDefault="008B1445" w:rsidP="008B1445">
            <w:pPr>
              <w:spacing w:before="100" w:beforeAutospacing="1" w:after="100" w:afterAutospacing="1" w:line="240" w:lineRule="auto"/>
              <w:rPr>
                <w:sz w:val="20"/>
                <w:szCs w:val="20"/>
              </w:rPr>
            </w:pPr>
            <w:r>
              <w:rPr>
                <w:sz w:val="20"/>
                <w:szCs w:val="20"/>
              </w:rPr>
              <w:t>Commercial Cooking</w:t>
            </w:r>
          </w:p>
        </w:tc>
        <w:tc>
          <w:tcPr>
            <w:tcW w:w="630" w:type="dxa"/>
            <w:tcBorders>
              <w:top w:val="nil"/>
              <w:left w:val="nil"/>
              <w:bottom w:val="single" w:sz="12" w:space="0" w:color="auto"/>
              <w:right w:val="single" w:sz="8" w:space="0" w:color="auto"/>
            </w:tcBorders>
          </w:tcPr>
          <w:p w14:paraId="74F3740E" w14:textId="77777777" w:rsidR="008B1445" w:rsidRDefault="008B1445" w:rsidP="008B1445">
            <w:pPr>
              <w:spacing w:before="100" w:beforeAutospacing="1" w:after="100" w:afterAutospacing="1" w:line="240" w:lineRule="auto"/>
              <w:jc w:val="center"/>
              <w:rPr>
                <w:color w:val="000000"/>
                <w:sz w:val="20"/>
                <w:szCs w:val="20"/>
              </w:rPr>
            </w:pPr>
            <w:r>
              <w:rPr>
                <w:color w:val="000000"/>
                <w:sz w:val="20"/>
                <w:szCs w:val="20"/>
              </w:rPr>
              <w:t>5</w:t>
            </w:r>
          </w:p>
        </w:tc>
        <w:tc>
          <w:tcPr>
            <w:tcW w:w="749" w:type="dxa"/>
            <w:tcBorders>
              <w:top w:val="nil"/>
              <w:left w:val="single" w:sz="8" w:space="0" w:color="auto"/>
              <w:bottom w:val="single" w:sz="12" w:space="0" w:color="auto"/>
              <w:right w:val="single" w:sz="8" w:space="0" w:color="auto"/>
            </w:tcBorders>
            <w:tcMar>
              <w:top w:w="0" w:type="dxa"/>
              <w:left w:w="108" w:type="dxa"/>
              <w:bottom w:w="0" w:type="dxa"/>
              <w:right w:w="108" w:type="dxa"/>
            </w:tcMar>
            <w:vAlign w:val="bottom"/>
            <w:hideMark/>
          </w:tcPr>
          <w:p w14:paraId="3AB83100" w14:textId="77777777" w:rsidR="008B1445" w:rsidRDefault="008B1445" w:rsidP="008B1445">
            <w:pPr>
              <w:spacing w:before="100" w:beforeAutospacing="1" w:after="100" w:afterAutospacing="1" w:line="240" w:lineRule="auto"/>
              <w:jc w:val="center"/>
              <w:rPr>
                <w:color w:val="000000"/>
                <w:sz w:val="20"/>
                <w:szCs w:val="20"/>
              </w:rPr>
            </w:pPr>
          </w:p>
        </w:tc>
        <w:tc>
          <w:tcPr>
            <w:tcW w:w="4291" w:type="dxa"/>
            <w:vMerge/>
            <w:tcBorders>
              <w:left w:val="nil"/>
              <w:bottom w:val="single" w:sz="12" w:space="0" w:color="auto"/>
              <w:right w:val="single" w:sz="12" w:space="0" w:color="auto"/>
            </w:tcBorders>
            <w:vAlign w:val="center"/>
            <w:hideMark/>
          </w:tcPr>
          <w:p w14:paraId="473CA6D7" w14:textId="77777777" w:rsidR="008B1445" w:rsidRDefault="008B1445" w:rsidP="008B1445">
            <w:pPr>
              <w:spacing w:before="100" w:beforeAutospacing="1" w:after="100" w:afterAutospacing="1" w:line="240" w:lineRule="auto"/>
              <w:rPr>
                <w:rFonts w:ascii="Calibri" w:hAnsi="Calibri" w:cs="Calibri"/>
                <w:color w:val="000000"/>
                <w:sz w:val="20"/>
                <w:szCs w:val="20"/>
              </w:rPr>
            </w:pPr>
          </w:p>
        </w:tc>
      </w:tr>
    </w:tbl>
    <w:p w14:paraId="1DAD32F7" w14:textId="77777777" w:rsidR="00A763EF" w:rsidRPr="00632441" w:rsidRDefault="00A763EF" w:rsidP="000422F8"/>
    <w:sectPr w:rsidR="00A763EF" w:rsidRPr="006324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3FD3E" w14:textId="77777777" w:rsidR="008C7CFB" w:rsidRDefault="008C7CFB" w:rsidP="0007269A">
      <w:pPr>
        <w:spacing w:after="0" w:line="240" w:lineRule="auto"/>
      </w:pPr>
      <w:r>
        <w:separator/>
      </w:r>
    </w:p>
  </w:endnote>
  <w:endnote w:type="continuationSeparator" w:id="0">
    <w:p w14:paraId="08A76CE6" w14:textId="77777777" w:rsidR="008C7CFB" w:rsidRDefault="008C7CFB" w:rsidP="00072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61133" w14:textId="77777777" w:rsidR="008C7CFB" w:rsidRDefault="008C7CFB" w:rsidP="0007269A">
      <w:pPr>
        <w:spacing w:after="0" w:line="240" w:lineRule="auto"/>
      </w:pPr>
      <w:r>
        <w:separator/>
      </w:r>
    </w:p>
  </w:footnote>
  <w:footnote w:type="continuationSeparator" w:id="0">
    <w:p w14:paraId="4BCBE8E4" w14:textId="77777777" w:rsidR="008C7CFB" w:rsidRDefault="008C7CFB" w:rsidP="000726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01B4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F99120F"/>
    <w:multiLevelType w:val="hybridMultilevel"/>
    <w:tmpl w:val="09123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95EF1"/>
    <w:multiLevelType w:val="hybridMultilevel"/>
    <w:tmpl w:val="1474E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2228FF"/>
    <w:multiLevelType w:val="hybridMultilevel"/>
    <w:tmpl w:val="CDCA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45DFF"/>
    <w:multiLevelType w:val="hybridMultilevel"/>
    <w:tmpl w:val="7E6E9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D72CE1"/>
    <w:multiLevelType w:val="hybridMultilevel"/>
    <w:tmpl w:val="EC18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470A13"/>
    <w:multiLevelType w:val="hybridMultilevel"/>
    <w:tmpl w:val="476C9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906A3E"/>
    <w:multiLevelType w:val="hybridMultilevel"/>
    <w:tmpl w:val="1AD023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B662D"/>
    <w:multiLevelType w:val="hybridMultilevel"/>
    <w:tmpl w:val="1C7AE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FF0600"/>
    <w:multiLevelType w:val="hybridMultilevel"/>
    <w:tmpl w:val="C7D6D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8"/>
  </w:num>
  <w:num w:numId="5">
    <w:abstractNumId w:val="3"/>
  </w:num>
  <w:num w:numId="6">
    <w:abstractNumId w:val="4"/>
  </w:num>
  <w:num w:numId="7">
    <w:abstractNumId w:val="7"/>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CD"/>
    <w:rsid w:val="0003281C"/>
    <w:rsid w:val="000422F8"/>
    <w:rsid w:val="000465AB"/>
    <w:rsid w:val="0007269A"/>
    <w:rsid w:val="000872A1"/>
    <w:rsid w:val="000B43A8"/>
    <w:rsid w:val="000D68C2"/>
    <w:rsid w:val="000E162E"/>
    <w:rsid w:val="00106B11"/>
    <w:rsid w:val="00143B16"/>
    <w:rsid w:val="00150105"/>
    <w:rsid w:val="00165B48"/>
    <w:rsid w:val="001D3F62"/>
    <w:rsid w:val="002341AB"/>
    <w:rsid w:val="002B685F"/>
    <w:rsid w:val="002C346C"/>
    <w:rsid w:val="002D02EF"/>
    <w:rsid w:val="002F27B6"/>
    <w:rsid w:val="00320ADF"/>
    <w:rsid w:val="00332F6D"/>
    <w:rsid w:val="00342350"/>
    <w:rsid w:val="003A5745"/>
    <w:rsid w:val="003C7C09"/>
    <w:rsid w:val="003D08C9"/>
    <w:rsid w:val="004B11BC"/>
    <w:rsid w:val="004C6DF5"/>
    <w:rsid w:val="004D2196"/>
    <w:rsid w:val="005103C6"/>
    <w:rsid w:val="00512920"/>
    <w:rsid w:val="00513A3A"/>
    <w:rsid w:val="00546A75"/>
    <w:rsid w:val="00550184"/>
    <w:rsid w:val="0057122E"/>
    <w:rsid w:val="005E503A"/>
    <w:rsid w:val="006007C0"/>
    <w:rsid w:val="00605CD5"/>
    <w:rsid w:val="00615927"/>
    <w:rsid w:val="0061672C"/>
    <w:rsid w:val="00626370"/>
    <w:rsid w:val="00632441"/>
    <w:rsid w:val="006738EE"/>
    <w:rsid w:val="006A4A08"/>
    <w:rsid w:val="006D4D84"/>
    <w:rsid w:val="006F38C5"/>
    <w:rsid w:val="006F3A18"/>
    <w:rsid w:val="00792E71"/>
    <w:rsid w:val="007D3912"/>
    <w:rsid w:val="007F05F6"/>
    <w:rsid w:val="00836496"/>
    <w:rsid w:val="008A0898"/>
    <w:rsid w:val="008A3631"/>
    <w:rsid w:val="008B1445"/>
    <w:rsid w:val="008C7CFB"/>
    <w:rsid w:val="008D3AA7"/>
    <w:rsid w:val="008D4258"/>
    <w:rsid w:val="00962A53"/>
    <w:rsid w:val="00965B48"/>
    <w:rsid w:val="009D4255"/>
    <w:rsid w:val="00A763EF"/>
    <w:rsid w:val="00AB3558"/>
    <w:rsid w:val="00AD0AC4"/>
    <w:rsid w:val="00AF5167"/>
    <w:rsid w:val="00B0006C"/>
    <w:rsid w:val="00B15F45"/>
    <w:rsid w:val="00B26D94"/>
    <w:rsid w:val="00B54EB1"/>
    <w:rsid w:val="00B67B11"/>
    <w:rsid w:val="00B80D51"/>
    <w:rsid w:val="00BD35B3"/>
    <w:rsid w:val="00BD7376"/>
    <w:rsid w:val="00BE3327"/>
    <w:rsid w:val="00C70DD5"/>
    <w:rsid w:val="00CA2065"/>
    <w:rsid w:val="00D30416"/>
    <w:rsid w:val="00D739FC"/>
    <w:rsid w:val="00DB2882"/>
    <w:rsid w:val="00DC5D48"/>
    <w:rsid w:val="00E06642"/>
    <w:rsid w:val="00E4428C"/>
    <w:rsid w:val="00E52DCD"/>
    <w:rsid w:val="00E82687"/>
    <w:rsid w:val="00EA2F1D"/>
    <w:rsid w:val="00EB42EA"/>
    <w:rsid w:val="00EC124B"/>
    <w:rsid w:val="00F05B27"/>
    <w:rsid w:val="00FD2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968B9"/>
  <w15:chartTrackingRefBased/>
  <w15:docId w15:val="{2C74E28B-0233-445B-91E7-B7D64752B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912"/>
  </w:style>
  <w:style w:type="paragraph" w:styleId="Heading1">
    <w:name w:val="heading 1"/>
    <w:basedOn w:val="Normal"/>
    <w:next w:val="Normal"/>
    <w:link w:val="Heading1Char"/>
    <w:uiPriority w:val="9"/>
    <w:qFormat/>
    <w:rsid w:val="00B67B11"/>
    <w:pPr>
      <w:keepNext/>
      <w:keepLines/>
      <w:numPr>
        <w:numId w:val="9"/>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7B11"/>
    <w:pPr>
      <w:keepNext/>
      <w:keepLines/>
      <w:numPr>
        <w:ilvl w:val="1"/>
        <w:numId w:val="9"/>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A2065"/>
    <w:pPr>
      <w:keepNext/>
      <w:keepLines/>
      <w:numPr>
        <w:ilvl w:val="2"/>
        <w:numId w:val="9"/>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A2065"/>
    <w:pPr>
      <w:keepNext/>
      <w:keepLines/>
      <w:numPr>
        <w:ilvl w:val="3"/>
        <w:numId w:val="9"/>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A2065"/>
    <w:pPr>
      <w:keepNext/>
      <w:keepLines/>
      <w:numPr>
        <w:ilvl w:val="4"/>
        <w:numId w:val="9"/>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A2065"/>
    <w:pPr>
      <w:keepNext/>
      <w:keepLines/>
      <w:numPr>
        <w:ilvl w:val="5"/>
        <w:numId w:val="9"/>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A2065"/>
    <w:pPr>
      <w:keepNext/>
      <w:keepLines/>
      <w:numPr>
        <w:ilvl w:val="6"/>
        <w:numId w:val="9"/>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A2065"/>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2065"/>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2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72A1"/>
    <w:pPr>
      <w:ind w:left="720"/>
      <w:contextualSpacing/>
    </w:pPr>
  </w:style>
  <w:style w:type="paragraph" w:styleId="Caption">
    <w:name w:val="caption"/>
    <w:basedOn w:val="Normal"/>
    <w:next w:val="Normal"/>
    <w:uiPriority w:val="35"/>
    <w:unhideWhenUsed/>
    <w:qFormat/>
    <w:rsid w:val="005E503A"/>
    <w:pPr>
      <w:spacing w:after="200" w:line="240" w:lineRule="auto"/>
    </w:pPr>
    <w:rPr>
      <w:i/>
      <w:iCs/>
      <w:color w:val="44546A" w:themeColor="text2"/>
      <w:szCs w:val="18"/>
    </w:rPr>
  </w:style>
  <w:style w:type="character" w:customStyle="1" w:styleId="Heading1Char">
    <w:name w:val="Heading 1 Char"/>
    <w:basedOn w:val="DefaultParagraphFont"/>
    <w:link w:val="Heading1"/>
    <w:uiPriority w:val="9"/>
    <w:rsid w:val="00B67B1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67B11"/>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0726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269A"/>
    <w:rPr>
      <w:sz w:val="20"/>
      <w:szCs w:val="20"/>
    </w:rPr>
  </w:style>
  <w:style w:type="character" w:styleId="FootnoteReference">
    <w:name w:val="footnote reference"/>
    <w:basedOn w:val="DefaultParagraphFont"/>
    <w:uiPriority w:val="99"/>
    <w:semiHidden/>
    <w:unhideWhenUsed/>
    <w:rsid w:val="0007269A"/>
    <w:rPr>
      <w:vertAlign w:val="superscript"/>
    </w:rPr>
  </w:style>
  <w:style w:type="paragraph" w:styleId="BalloonText">
    <w:name w:val="Balloon Text"/>
    <w:basedOn w:val="Normal"/>
    <w:link w:val="BalloonTextChar"/>
    <w:uiPriority w:val="99"/>
    <w:semiHidden/>
    <w:unhideWhenUsed/>
    <w:rsid w:val="00BD3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5B3"/>
    <w:rPr>
      <w:rFonts w:ascii="Segoe UI" w:hAnsi="Segoe UI" w:cs="Segoe UI"/>
      <w:sz w:val="18"/>
      <w:szCs w:val="18"/>
    </w:rPr>
  </w:style>
  <w:style w:type="paragraph" w:styleId="Title">
    <w:name w:val="Title"/>
    <w:basedOn w:val="Normal"/>
    <w:next w:val="Normal"/>
    <w:link w:val="TitleChar"/>
    <w:uiPriority w:val="10"/>
    <w:qFormat/>
    <w:rsid w:val="00A763EF"/>
    <w:pPr>
      <w:spacing w:after="0" w:line="240" w:lineRule="auto"/>
      <w:contextualSpacing/>
    </w:pPr>
    <w:rPr>
      <w:rFonts w:asciiTheme="majorHAnsi" w:eastAsiaTheme="majorEastAsia" w:hAnsiTheme="majorHAnsi" w:cstheme="majorBidi"/>
      <w:spacing w:val="-10"/>
      <w:kern w:val="28"/>
      <w:sz w:val="36"/>
      <w:szCs w:val="56"/>
    </w:rPr>
  </w:style>
  <w:style w:type="character" w:customStyle="1" w:styleId="TitleChar">
    <w:name w:val="Title Char"/>
    <w:basedOn w:val="DefaultParagraphFont"/>
    <w:link w:val="Title"/>
    <w:uiPriority w:val="10"/>
    <w:rsid w:val="00A763EF"/>
    <w:rPr>
      <w:rFonts w:asciiTheme="majorHAnsi" w:eastAsiaTheme="majorEastAsia" w:hAnsiTheme="majorHAnsi" w:cstheme="majorBidi"/>
      <w:spacing w:val="-10"/>
      <w:kern w:val="28"/>
      <w:sz w:val="36"/>
      <w:szCs w:val="56"/>
    </w:rPr>
  </w:style>
  <w:style w:type="character" w:customStyle="1" w:styleId="Heading3Char">
    <w:name w:val="Heading 3 Char"/>
    <w:basedOn w:val="DefaultParagraphFont"/>
    <w:link w:val="Heading3"/>
    <w:uiPriority w:val="9"/>
    <w:semiHidden/>
    <w:rsid w:val="00CA206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CA206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CA206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CA206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CA206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CA206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2065"/>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4B11BC"/>
    <w:rPr>
      <w:sz w:val="16"/>
      <w:szCs w:val="16"/>
    </w:rPr>
  </w:style>
  <w:style w:type="paragraph" w:styleId="CommentText">
    <w:name w:val="annotation text"/>
    <w:basedOn w:val="Normal"/>
    <w:link w:val="CommentTextChar"/>
    <w:uiPriority w:val="99"/>
    <w:semiHidden/>
    <w:unhideWhenUsed/>
    <w:rsid w:val="004B11BC"/>
    <w:pPr>
      <w:spacing w:line="240" w:lineRule="auto"/>
    </w:pPr>
    <w:rPr>
      <w:sz w:val="20"/>
      <w:szCs w:val="20"/>
    </w:rPr>
  </w:style>
  <w:style w:type="character" w:customStyle="1" w:styleId="CommentTextChar">
    <w:name w:val="Comment Text Char"/>
    <w:basedOn w:val="DefaultParagraphFont"/>
    <w:link w:val="CommentText"/>
    <w:uiPriority w:val="99"/>
    <w:semiHidden/>
    <w:rsid w:val="004B11BC"/>
    <w:rPr>
      <w:sz w:val="20"/>
      <w:szCs w:val="20"/>
    </w:rPr>
  </w:style>
  <w:style w:type="paragraph" w:styleId="CommentSubject">
    <w:name w:val="annotation subject"/>
    <w:basedOn w:val="CommentText"/>
    <w:next w:val="CommentText"/>
    <w:link w:val="CommentSubjectChar"/>
    <w:uiPriority w:val="99"/>
    <w:semiHidden/>
    <w:unhideWhenUsed/>
    <w:rsid w:val="004B11BC"/>
    <w:rPr>
      <w:b/>
      <w:bCs/>
    </w:rPr>
  </w:style>
  <w:style w:type="character" w:customStyle="1" w:styleId="CommentSubjectChar">
    <w:name w:val="Comment Subject Char"/>
    <w:basedOn w:val="CommentTextChar"/>
    <w:link w:val="CommentSubject"/>
    <w:uiPriority w:val="99"/>
    <w:semiHidden/>
    <w:rsid w:val="004B11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841104">
      <w:bodyDiv w:val="1"/>
      <w:marLeft w:val="0"/>
      <w:marRight w:val="0"/>
      <w:marTop w:val="0"/>
      <w:marBottom w:val="0"/>
      <w:divBdr>
        <w:top w:val="none" w:sz="0" w:space="0" w:color="auto"/>
        <w:left w:val="none" w:sz="0" w:space="0" w:color="auto"/>
        <w:bottom w:val="none" w:sz="0" w:space="0" w:color="auto"/>
        <w:right w:val="none" w:sz="0" w:space="0" w:color="auto"/>
      </w:divBdr>
    </w:div>
    <w:div w:id="122891657">
      <w:bodyDiv w:val="1"/>
      <w:marLeft w:val="0"/>
      <w:marRight w:val="0"/>
      <w:marTop w:val="0"/>
      <w:marBottom w:val="0"/>
      <w:divBdr>
        <w:top w:val="none" w:sz="0" w:space="0" w:color="auto"/>
        <w:left w:val="none" w:sz="0" w:space="0" w:color="auto"/>
        <w:bottom w:val="none" w:sz="0" w:space="0" w:color="auto"/>
        <w:right w:val="none" w:sz="0" w:space="0" w:color="auto"/>
      </w:divBdr>
    </w:div>
    <w:div w:id="284502651">
      <w:bodyDiv w:val="1"/>
      <w:marLeft w:val="0"/>
      <w:marRight w:val="0"/>
      <w:marTop w:val="0"/>
      <w:marBottom w:val="0"/>
      <w:divBdr>
        <w:top w:val="none" w:sz="0" w:space="0" w:color="auto"/>
        <w:left w:val="none" w:sz="0" w:space="0" w:color="auto"/>
        <w:bottom w:val="none" w:sz="0" w:space="0" w:color="auto"/>
        <w:right w:val="none" w:sz="0" w:space="0" w:color="auto"/>
      </w:divBdr>
    </w:div>
    <w:div w:id="325548180">
      <w:bodyDiv w:val="1"/>
      <w:marLeft w:val="0"/>
      <w:marRight w:val="0"/>
      <w:marTop w:val="0"/>
      <w:marBottom w:val="0"/>
      <w:divBdr>
        <w:top w:val="none" w:sz="0" w:space="0" w:color="auto"/>
        <w:left w:val="none" w:sz="0" w:space="0" w:color="auto"/>
        <w:bottom w:val="none" w:sz="0" w:space="0" w:color="auto"/>
        <w:right w:val="none" w:sz="0" w:space="0" w:color="auto"/>
      </w:divBdr>
    </w:div>
    <w:div w:id="354816785">
      <w:bodyDiv w:val="1"/>
      <w:marLeft w:val="0"/>
      <w:marRight w:val="0"/>
      <w:marTop w:val="0"/>
      <w:marBottom w:val="0"/>
      <w:divBdr>
        <w:top w:val="none" w:sz="0" w:space="0" w:color="auto"/>
        <w:left w:val="none" w:sz="0" w:space="0" w:color="auto"/>
        <w:bottom w:val="none" w:sz="0" w:space="0" w:color="auto"/>
        <w:right w:val="none" w:sz="0" w:space="0" w:color="auto"/>
      </w:divBdr>
    </w:div>
    <w:div w:id="411391205">
      <w:bodyDiv w:val="1"/>
      <w:marLeft w:val="0"/>
      <w:marRight w:val="0"/>
      <w:marTop w:val="0"/>
      <w:marBottom w:val="0"/>
      <w:divBdr>
        <w:top w:val="none" w:sz="0" w:space="0" w:color="auto"/>
        <w:left w:val="none" w:sz="0" w:space="0" w:color="auto"/>
        <w:bottom w:val="none" w:sz="0" w:space="0" w:color="auto"/>
        <w:right w:val="none" w:sz="0" w:space="0" w:color="auto"/>
      </w:divBdr>
    </w:div>
    <w:div w:id="425266732">
      <w:bodyDiv w:val="1"/>
      <w:marLeft w:val="0"/>
      <w:marRight w:val="0"/>
      <w:marTop w:val="0"/>
      <w:marBottom w:val="0"/>
      <w:divBdr>
        <w:top w:val="none" w:sz="0" w:space="0" w:color="auto"/>
        <w:left w:val="none" w:sz="0" w:space="0" w:color="auto"/>
        <w:bottom w:val="none" w:sz="0" w:space="0" w:color="auto"/>
        <w:right w:val="none" w:sz="0" w:space="0" w:color="auto"/>
      </w:divBdr>
    </w:div>
    <w:div w:id="453867982">
      <w:bodyDiv w:val="1"/>
      <w:marLeft w:val="0"/>
      <w:marRight w:val="0"/>
      <w:marTop w:val="0"/>
      <w:marBottom w:val="0"/>
      <w:divBdr>
        <w:top w:val="none" w:sz="0" w:space="0" w:color="auto"/>
        <w:left w:val="none" w:sz="0" w:space="0" w:color="auto"/>
        <w:bottom w:val="none" w:sz="0" w:space="0" w:color="auto"/>
        <w:right w:val="none" w:sz="0" w:space="0" w:color="auto"/>
      </w:divBdr>
    </w:div>
    <w:div w:id="454980219">
      <w:bodyDiv w:val="1"/>
      <w:marLeft w:val="0"/>
      <w:marRight w:val="0"/>
      <w:marTop w:val="0"/>
      <w:marBottom w:val="0"/>
      <w:divBdr>
        <w:top w:val="none" w:sz="0" w:space="0" w:color="auto"/>
        <w:left w:val="none" w:sz="0" w:space="0" w:color="auto"/>
        <w:bottom w:val="none" w:sz="0" w:space="0" w:color="auto"/>
        <w:right w:val="none" w:sz="0" w:space="0" w:color="auto"/>
      </w:divBdr>
    </w:div>
    <w:div w:id="650866088">
      <w:bodyDiv w:val="1"/>
      <w:marLeft w:val="0"/>
      <w:marRight w:val="0"/>
      <w:marTop w:val="0"/>
      <w:marBottom w:val="0"/>
      <w:divBdr>
        <w:top w:val="none" w:sz="0" w:space="0" w:color="auto"/>
        <w:left w:val="none" w:sz="0" w:space="0" w:color="auto"/>
        <w:bottom w:val="none" w:sz="0" w:space="0" w:color="auto"/>
        <w:right w:val="none" w:sz="0" w:space="0" w:color="auto"/>
      </w:divBdr>
    </w:div>
    <w:div w:id="661204655">
      <w:bodyDiv w:val="1"/>
      <w:marLeft w:val="0"/>
      <w:marRight w:val="0"/>
      <w:marTop w:val="0"/>
      <w:marBottom w:val="0"/>
      <w:divBdr>
        <w:top w:val="none" w:sz="0" w:space="0" w:color="auto"/>
        <w:left w:val="none" w:sz="0" w:space="0" w:color="auto"/>
        <w:bottom w:val="none" w:sz="0" w:space="0" w:color="auto"/>
        <w:right w:val="none" w:sz="0" w:space="0" w:color="auto"/>
      </w:divBdr>
    </w:div>
    <w:div w:id="683559668">
      <w:bodyDiv w:val="1"/>
      <w:marLeft w:val="0"/>
      <w:marRight w:val="0"/>
      <w:marTop w:val="0"/>
      <w:marBottom w:val="0"/>
      <w:divBdr>
        <w:top w:val="none" w:sz="0" w:space="0" w:color="auto"/>
        <w:left w:val="none" w:sz="0" w:space="0" w:color="auto"/>
        <w:bottom w:val="none" w:sz="0" w:space="0" w:color="auto"/>
        <w:right w:val="none" w:sz="0" w:space="0" w:color="auto"/>
      </w:divBdr>
    </w:div>
    <w:div w:id="710107627">
      <w:bodyDiv w:val="1"/>
      <w:marLeft w:val="0"/>
      <w:marRight w:val="0"/>
      <w:marTop w:val="0"/>
      <w:marBottom w:val="0"/>
      <w:divBdr>
        <w:top w:val="none" w:sz="0" w:space="0" w:color="auto"/>
        <w:left w:val="none" w:sz="0" w:space="0" w:color="auto"/>
        <w:bottom w:val="none" w:sz="0" w:space="0" w:color="auto"/>
        <w:right w:val="none" w:sz="0" w:space="0" w:color="auto"/>
      </w:divBdr>
    </w:div>
    <w:div w:id="957834647">
      <w:bodyDiv w:val="1"/>
      <w:marLeft w:val="0"/>
      <w:marRight w:val="0"/>
      <w:marTop w:val="0"/>
      <w:marBottom w:val="0"/>
      <w:divBdr>
        <w:top w:val="none" w:sz="0" w:space="0" w:color="auto"/>
        <w:left w:val="none" w:sz="0" w:space="0" w:color="auto"/>
        <w:bottom w:val="none" w:sz="0" w:space="0" w:color="auto"/>
        <w:right w:val="none" w:sz="0" w:space="0" w:color="auto"/>
      </w:divBdr>
    </w:div>
    <w:div w:id="1033306639">
      <w:bodyDiv w:val="1"/>
      <w:marLeft w:val="0"/>
      <w:marRight w:val="0"/>
      <w:marTop w:val="0"/>
      <w:marBottom w:val="0"/>
      <w:divBdr>
        <w:top w:val="none" w:sz="0" w:space="0" w:color="auto"/>
        <w:left w:val="none" w:sz="0" w:space="0" w:color="auto"/>
        <w:bottom w:val="none" w:sz="0" w:space="0" w:color="auto"/>
        <w:right w:val="none" w:sz="0" w:space="0" w:color="auto"/>
      </w:divBdr>
    </w:div>
    <w:div w:id="1203706750">
      <w:bodyDiv w:val="1"/>
      <w:marLeft w:val="0"/>
      <w:marRight w:val="0"/>
      <w:marTop w:val="0"/>
      <w:marBottom w:val="0"/>
      <w:divBdr>
        <w:top w:val="none" w:sz="0" w:space="0" w:color="auto"/>
        <w:left w:val="none" w:sz="0" w:space="0" w:color="auto"/>
        <w:bottom w:val="none" w:sz="0" w:space="0" w:color="auto"/>
        <w:right w:val="none" w:sz="0" w:space="0" w:color="auto"/>
      </w:divBdr>
    </w:div>
    <w:div w:id="1362898161">
      <w:bodyDiv w:val="1"/>
      <w:marLeft w:val="0"/>
      <w:marRight w:val="0"/>
      <w:marTop w:val="0"/>
      <w:marBottom w:val="0"/>
      <w:divBdr>
        <w:top w:val="none" w:sz="0" w:space="0" w:color="auto"/>
        <w:left w:val="none" w:sz="0" w:space="0" w:color="auto"/>
        <w:bottom w:val="none" w:sz="0" w:space="0" w:color="auto"/>
        <w:right w:val="none" w:sz="0" w:space="0" w:color="auto"/>
      </w:divBdr>
    </w:div>
    <w:div w:id="1434134990">
      <w:bodyDiv w:val="1"/>
      <w:marLeft w:val="0"/>
      <w:marRight w:val="0"/>
      <w:marTop w:val="0"/>
      <w:marBottom w:val="0"/>
      <w:divBdr>
        <w:top w:val="none" w:sz="0" w:space="0" w:color="auto"/>
        <w:left w:val="none" w:sz="0" w:space="0" w:color="auto"/>
        <w:bottom w:val="none" w:sz="0" w:space="0" w:color="auto"/>
        <w:right w:val="none" w:sz="0" w:space="0" w:color="auto"/>
      </w:divBdr>
    </w:div>
    <w:div w:id="1456748801">
      <w:bodyDiv w:val="1"/>
      <w:marLeft w:val="0"/>
      <w:marRight w:val="0"/>
      <w:marTop w:val="0"/>
      <w:marBottom w:val="0"/>
      <w:divBdr>
        <w:top w:val="none" w:sz="0" w:space="0" w:color="auto"/>
        <w:left w:val="none" w:sz="0" w:space="0" w:color="auto"/>
        <w:bottom w:val="none" w:sz="0" w:space="0" w:color="auto"/>
        <w:right w:val="none" w:sz="0" w:space="0" w:color="auto"/>
      </w:divBdr>
    </w:div>
    <w:div w:id="1658268023">
      <w:bodyDiv w:val="1"/>
      <w:marLeft w:val="0"/>
      <w:marRight w:val="0"/>
      <w:marTop w:val="0"/>
      <w:marBottom w:val="0"/>
      <w:divBdr>
        <w:top w:val="none" w:sz="0" w:space="0" w:color="auto"/>
        <w:left w:val="none" w:sz="0" w:space="0" w:color="auto"/>
        <w:bottom w:val="none" w:sz="0" w:space="0" w:color="auto"/>
        <w:right w:val="none" w:sz="0" w:space="0" w:color="auto"/>
      </w:divBdr>
    </w:div>
    <w:div w:id="1670864728">
      <w:bodyDiv w:val="1"/>
      <w:marLeft w:val="0"/>
      <w:marRight w:val="0"/>
      <w:marTop w:val="0"/>
      <w:marBottom w:val="0"/>
      <w:divBdr>
        <w:top w:val="none" w:sz="0" w:space="0" w:color="auto"/>
        <w:left w:val="none" w:sz="0" w:space="0" w:color="auto"/>
        <w:bottom w:val="none" w:sz="0" w:space="0" w:color="auto"/>
        <w:right w:val="none" w:sz="0" w:space="0" w:color="auto"/>
      </w:divBdr>
    </w:div>
    <w:div w:id="1872107885">
      <w:bodyDiv w:val="1"/>
      <w:marLeft w:val="0"/>
      <w:marRight w:val="0"/>
      <w:marTop w:val="0"/>
      <w:marBottom w:val="0"/>
      <w:divBdr>
        <w:top w:val="none" w:sz="0" w:space="0" w:color="auto"/>
        <w:left w:val="none" w:sz="0" w:space="0" w:color="auto"/>
        <w:bottom w:val="none" w:sz="0" w:space="0" w:color="auto"/>
        <w:right w:val="none" w:sz="0" w:space="0" w:color="auto"/>
      </w:divBdr>
    </w:div>
    <w:div w:id="210857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8B431-8871-4677-9FA1-8DA5A75F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13</Pages>
  <Words>3781</Words>
  <Characters>21555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Houyoux, Marc</dc:creator>
  <cp:keywords/>
  <dc:description/>
  <cp:lastModifiedBy>Houyoux, Marc</cp:lastModifiedBy>
  <cp:revision>8</cp:revision>
  <dcterms:created xsi:type="dcterms:W3CDTF">2021-02-23T18:50:00Z</dcterms:created>
  <dcterms:modified xsi:type="dcterms:W3CDTF">2021-02-24T14:39:00Z</dcterms:modified>
</cp:coreProperties>
</file>